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4953" w14:textId="5AC8FE8E"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w:t>
      </w:r>
      <w:r w:rsidR="005B0F9F">
        <w:rPr>
          <w:rFonts w:cs="Courier New"/>
          <w:sz w:val="24"/>
          <w:szCs w:val="24"/>
          <w:lang w:val="de-DE"/>
        </w:rPr>
        <w:t>4</w:t>
      </w:r>
      <w:bookmarkStart w:id="0" w:name="_GoBack"/>
      <w:bookmarkEnd w:id="0"/>
      <w:r w:rsidRPr="00DB3907">
        <w:rPr>
          <w:rFonts w:cs="Courier New"/>
          <w:sz w:val="24"/>
          <w:szCs w:val="24"/>
          <w:lang w:val="de-DE"/>
        </w:rPr>
        <w:tab/>
        <w:t>R4-</w:t>
      </w:r>
      <w:r w:rsidR="00216121">
        <w:rPr>
          <w:rFonts w:cs="Courier New"/>
          <w:sz w:val="24"/>
          <w:szCs w:val="24"/>
          <w:lang w:val="de-DE"/>
        </w:rPr>
        <w:t>1708449</w:t>
      </w:r>
    </w:p>
    <w:p w14:paraId="3486D36A" w14:textId="21B5EA1F" w:rsidR="008209AC" w:rsidRPr="00DB3907" w:rsidRDefault="005B0F9F" w:rsidP="008209AC">
      <w:pPr>
        <w:pStyle w:val="Header"/>
        <w:tabs>
          <w:tab w:val="left" w:pos="6521"/>
        </w:tabs>
        <w:jc w:val="both"/>
        <w:rPr>
          <w:rFonts w:cs="Courier New"/>
          <w:sz w:val="24"/>
          <w:szCs w:val="24"/>
        </w:rPr>
      </w:pPr>
      <w:r>
        <w:rPr>
          <w:rFonts w:cs="Courier New"/>
          <w:sz w:val="24"/>
          <w:szCs w:val="24"/>
        </w:rPr>
        <w:t>Berlin</w:t>
      </w:r>
      <w:r w:rsidR="008209AC">
        <w:rPr>
          <w:rFonts w:cs="Courier New"/>
          <w:sz w:val="24"/>
          <w:szCs w:val="24"/>
        </w:rPr>
        <w:t xml:space="preserve"> </w:t>
      </w:r>
      <w:r>
        <w:rPr>
          <w:rFonts w:cs="Courier New"/>
          <w:sz w:val="24"/>
          <w:szCs w:val="24"/>
        </w:rPr>
        <w:t>21</w:t>
      </w:r>
      <w:r>
        <w:rPr>
          <w:rFonts w:cs="Courier New"/>
          <w:sz w:val="24"/>
          <w:szCs w:val="24"/>
          <w:vertAlign w:val="superscript"/>
        </w:rPr>
        <w:t>st</w:t>
      </w:r>
      <w:r w:rsidR="008209AC">
        <w:rPr>
          <w:rFonts w:cs="Courier New"/>
          <w:sz w:val="24"/>
          <w:szCs w:val="24"/>
          <w:vertAlign w:val="superscript"/>
        </w:rPr>
        <w:t xml:space="preserve"> </w:t>
      </w:r>
      <w:r w:rsidR="008209AC" w:rsidRPr="00DB3907">
        <w:rPr>
          <w:rFonts w:cs="Courier New"/>
          <w:sz w:val="24"/>
          <w:szCs w:val="24"/>
        </w:rPr>
        <w:t xml:space="preserve">– </w:t>
      </w:r>
      <w:r>
        <w:rPr>
          <w:rFonts w:cs="Courier New"/>
          <w:sz w:val="24"/>
          <w:szCs w:val="24"/>
        </w:rPr>
        <w:t>25</w:t>
      </w:r>
      <w:r w:rsidR="008209AC">
        <w:rPr>
          <w:rFonts w:cs="Courier New"/>
          <w:sz w:val="24"/>
          <w:szCs w:val="24"/>
          <w:vertAlign w:val="superscript"/>
        </w:rPr>
        <w:t>th</w:t>
      </w:r>
      <w:r w:rsidR="008209AC">
        <w:rPr>
          <w:rFonts w:cs="Courier New"/>
          <w:sz w:val="24"/>
          <w:szCs w:val="24"/>
        </w:rPr>
        <w:t>, 201</w:t>
      </w:r>
      <w:r w:rsidR="000D7293">
        <w:rPr>
          <w:rFonts w:cs="Courier New"/>
          <w:sz w:val="24"/>
          <w:szCs w:val="24"/>
        </w:rPr>
        <w:t>7</w:t>
      </w:r>
    </w:p>
    <w:p w14:paraId="33695051" w14:textId="3DF372A9" w:rsidR="008209AC" w:rsidRPr="00DB3907" w:rsidRDefault="005B0F9F" w:rsidP="008209AC">
      <w:pPr>
        <w:pStyle w:val="Header"/>
        <w:jc w:val="both"/>
        <w:rPr>
          <w:rFonts w:cs="Courier New"/>
          <w:sz w:val="24"/>
          <w:szCs w:val="24"/>
        </w:rPr>
      </w:pPr>
      <w:r>
        <w:rPr>
          <w:rFonts w:cs="Courier New"/>
          <w:sz w:val="24"/>
          <w:szCs w:val="24"/>
        </w:rPr>
        <w:t>Berlin</w:t>
      </w:r>
      <w:r w:rsidR="00575814" w:rsidRPr="00575814">
        <w:rPr>
          <w:rFonts w:cs="Courier New"/>
          <w:sz w:val="24"/>
          <w:szCs w:val="24"/>
        </w:rPr>
        <w:t xml:space="preserve">, </w:t>
      </w:r>
      <w:r>
        <w:rPr>
          <w:rFonts w:cs="Courier New"/>
          <w:sz w:val="24"/>
          <w:szCs w:val="24"/>
        </w:rPr>
        <w:t>Germany</w:t>
      </w:r>
      <w:r w:rsidR="008209AC">
        <w:rPr>
          <w:rFonts w:cs="Courier New"/>
          <w:sz w:val="24"/>
          <w:szCs w:val="24"/>
        </w:rPr>
        <w:t xml:space="preserve"> </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F4568B7"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391468">
        <w:rPr>
          <w:rFonts w:ascii="Arial" w:hAnsi="Arial"/>
          <w:sz w:val="24"/>
          <w:lang w:val="en-US"/>
        </w:rPr>
        <w:t>9.4.4.2</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22F62245"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53C13">
        <w:rPr>
          <w:rFonts w:ascii="Arial" w:hAnsi="Arial"/>
          <w:sz w:val="24"/>
          <w:lang w:val="en-US"/>
        </w:rPr>
        <w:t>On UE IBB requirement</w:t>
      </w:r>
      <w:r w:rsidR="005B0F9F">
        <w:rPr>
          <w:rFonts w:ascii="Arial" w:hAnsi="Arial"/>
          <w:sz w:val="24"/>
          <w:lang w:val="en-US"/>
        </w:rPr>
        <w:t xml:space="preserve"> for mmW</w:t>
      </w:r>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1" w:name="_Ref463014664"/>
      <w:r>
        <w:rPr>
          <w:lang w:val="en-US"/>
        </w:rPr>
        <w:t>Introduction</w:t>
      </w:r>
      <w:bookmarkEnd w:id="1"/>
    </w:p>
    <w:p w14:paraId="0A5D3DAD" w14:textId="2E427420" w:rsidR="00262CE4" w:rsidRPr="00262CE4" w:rsidRDefault="00262CE4" w:rsidP="0020451B">
      <w:pPr>
        <w:jc w:val="both"/>
        <w:rPr>
          <w:b/>
        </w:rPr>
      </w:pPr>
      <w:r>
        <w:t xml:space="preserve">In this contribution, we focus on the </w:t>
      </w:r>
      <w:r w:rsidR="00501E88">
        <w:t xml:space="preserve">UE </w:t>
      </w:r>
      <w:r w:rsidR="005B0F9F">
        <w:t>in-band blocking (</w:t>
      </w:r>
      <w:r w:rsidR="00AA0267">
        <w:t>IBB</w:t>
      </w:r>
      <w:r w:rsidR="005B0F9F">
        <w:t>)</w:t>
      </w:r>
      <w:r w:rsidR="00501E88">
        <w:t xml:space="preserve"> requirements</w:t>
      </w:r>
      <w:r w:rsidR="00AA0267">
        <w:t xml:space="preserve"> for NR in millimiter wave (mmW) spectrum</w:t>
      </w:r>
      <w:r w:rsidR="00501E88">
        <w:t>.</w:t>
      </w:r>
      <w:r w:rsidR="00B14BBB">
        <w:t xml:space="preserve"> </w:t>
      </w:r>
      <w:r w:rsidR="006A41F1">
        <w:t>UE a</w:t>
      </w:r>
      <w:r w:rsidR="005B0F9F">
        <w:t xml:space="preserve">djacent channel selectivity (ACS) requirement </w:t>
      </w:r>
      <w:r w:rsidR="00653C13">
        <w:t xml:space="preserve">has been already agreed in last RAN4 meetings </w:t>
      </w:r>
      <w:r w:rsidR="00653C13">
        <w:fldChar w:fldCharType="begin"/>
      </w:r>
      <w:r w:rsidR="00653C13">
        <w:instrText xml:space="preserve"> REF _Ref489521993 \r \h </w:instrText>
      </w:r>
      <w:r w:rsidR="00653C13">
        <w:fldChar w:fldCharType="separate"/>
      </w:r>
      <w:r w:rsidR="00BA03AC">
        <w:t>[1]</w:t>
      </w:r>
      <w:r w:rsidR="00653C13">
        <w:fldChar w:fldCharType="end"/>
      </w:r>
      <w:r w:rsidR="00653C13">
        <w:fldChar w:fldCharType="begin"/>
      </w:r>
      <w:r w:rsidR="00653C13">
        <w:instrText xml:space="preserve"> REF _Ref489521996 \r \h </w:instrText>
      </w:r>
      <w:r w:rsidR="00653C13">
        <w:fldChar w:fldCharType="separate"/>
      </w:r>
      <w:r w:rsidR="00BA03AC">
        <w:t>[2]</w:t>
      </w:r>
      <w:r w:rsidR="00653C13">
        <w:fldChar w:fldCharType="end"/>
      </w:r>
      <w:r w:rsidR="00653C13">
        <w:t>, while little discussion about IBB happened.</w:t>
      </w:r>
      <w:r w:rsidR="005B0F9F">
        <w:t xml:space="preserve"> </w:t>
      </w:r>
      <w:r w:rsidR="00653C13">
        <w:t xml:space="preserve">In this paper, we will provide a detailed analysis on the impact of IBB requirements to system level performance and we will update our original proposal in </w:t>
      </w:r>
      <w:r w:rsidR="00970ED3">
        <w:fldChar w:fldCharType="begin"/>
      </w:r>
      <w:r w:rsidR="00970ED3">
        <w:instrText xml:space="preserve"> REF _Ref489522242 \r \h </w:instrText>
      </w:r>
      <w:r w:rsidR="00970ED3">
        <w:fldChar w:fldCharType="separate"/>
      </w:r>
      <w:r w:rsidR="00BA03AC">
        <w:t>[3]</w:t>
      </w:r>
      <w:r w:rsidR="00970ED3">
        <w:fldChar w:fldCharType="end"/>
      </w:r>
      <w:r w:rsidR="00970ED3">
        <w:t>.</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11A70964" w14:textId="11A21B4A" w:rsidR="00F66CB9" w:rsidRDefault="00970ED3" w:rsidP="00501E88">
      <w:pPr>
        <w:jc w:val="both"/>
        <w:rPr>
          <w:lang w:val="en-US"/>
        </w:rPr>
      </w:pPr>
      <w:r>
        <w:rPr>
          <w:lang w:val="en-US"/>
        </w:rPr>
        <w:t xml:space="preserve">RAN4 is currently defining the main UE Rx requirements for mmW. ACS value was agreed in </w:t>
      </w:r>
      <w:r>
        <w:rPr>
          <w:lang w:val="en-US"/>
        </w:rPr>
        <w:fldChar w:fldCharType="begin"/>
      </w:r>
      <w:r>
        <w:rPr>
          <w:lang w:val="en-US"/>
        </w:rPr>
        <w:instrText xml:space="preserve"> REF _Ref489521993 \r \h </w:instrText>
      </w:r>
      <w:r>
        <w:rPr>
          <w:lang w:val="en-US"/>
        </w:rPr>
      </w:r>
      <w:r>
        <w:rPr>
          <w:lang w:val="en-US"/>
        </w:rPr>
        <w:fldChar w:fldCharType="separate"/>
      </w:r>
      <w:r w:rsidR="00BA03AC">
        <w:rPr>
          <w:lang w:val="en-US"/>
        </w:rPr>
        <w:t>[1]</w:t>
      </w:r>
      <w:r>
        <w:rPr>
          <w:lang w:val="en-US"/>
        </w:rPr>
        <w:fldChar w:fldCharType="end"/>
      </w:r>
      <w:r>
        <w:rPr>
          <w:lang w:val="en-US"/>
        </w:rPr>
        <w:t xml:space="preserve"> based on the outcome of the adjacent channel coexistence study carried during NR study item phase</w:t>
      </w:r>
      <w:r w:rsidR="000D4716">
        <w:rPr>
          <w:lang w:val="en-US"/>
        </w:rPr>
        <w:t xml:space="preserve"> </w:t>
      </w:r>
      <w:r w:rsidR="000D4716">
        <w:rPr>
          <w:lang w:val="en-US"/>
        </w:rPr>
        <w:fldChar w:fldCharType="begin"/>
      </w:r>
      <w:r w:rsidR="000D4716">
        <w:rPr>
          <w:lang w:val="en-US"/>
        </w:rPr>
        <w:instrText xml:space="preserve"> REF _Ref489890177 \r \h </w:instrText>
      </w:r>
      <w:r w:rsidR="000D4716">
        <w:rPr>
          <w:lang w:val="en-US"/>
        </w:rPr>
      </w:r>
      <w:r w:rsidR="000D4716">
        <w:rPr>
          <w:lang w:val="en-US"/>
        </w:rPr>
        <w:fldChar w:fldCharType="separate"/>
      </w:r>
      <w:r w:rsidR="000D4716">
        <w:rPr>
          <w:lang w:val="en-US"/>
        </w:rPr>
        <w:t>[4]</w:t>
      </w:r>
      <w:r w:rsidR="000D4716">
        <w:rPr>
          <w:lang w:val="en-US"/>
        </w:rPr>
        <w:fldChar w:fldCharType="end"/>
      </w:r>
      <w:r>
        <w:rPr>
          <w:lang w:val="en-US"/>
        </w:rPr>
        <w:t xml:space="preserve">. The ACS requirement was than implemented in </w:t>
      </w:r>
      <w:r>
        <w:rPr>
          <w:lang w:val="en-US"/>
        </w:rPr>
        <w:fldChar w:fldCharType="begin"/>
      </w:r>
      <w:r>
        <w:rPr>
          <w:lang w:val="en-US"/>
        </w:rPr>
        <w:instrText xml:space="preserve"> REF _Ref489521996 \r \h </w:instrText>
      </w:r>
      <w:r>
        <w:rPr>
          <w:lang w:val="en-US"/>
        </w:rPr>
      </w:r>
      <w:r>
        <w:rPr>
          <w:lang w:val="en-US"/>
        </w:rPr>
        <w:fldChar w:fldCharType="separate"/>
      </w:r>
      <w:r w:rsidR="00BA03AC">
        <w:rPr>
          <w:lang w:val="en-US"/>
        </w:rPr>
        <w:t>[2]</w:t>
      </w:r>
      <w:r>
        <w:rPr>
          <w:lang w:val="en-US"/>
        </w:rPr>
        <w:fldChar w:fldCharType="end"/>
      </w:r>
      <w:r>
        <w:rPr>
          <w:lang w:val="en-US"/>
        </w:rPr>
        <w:t>. The agreed requirement can be summarized as follows:</w:t>
      </w:r>
    </w:p>
    <w:p w14:paraId="32F722C7" w14:textId="2222B802" w:rsidR="00970ED3" w:rsidRDefault="00970ED3" w:rsidP="00970ED3">
      <w:pPr>
        <w:pStyle w:val="ListParagraph"/>
        <w:numPr>
          <w:ilvl w:val="0"/>
          <w:numId w:val="26"/>
        </w:numPr>
        <w:jc w:val="both"/>
        <w:rPr>
          <w:lang w:val="en-US"/>
        </w:rPr>
      </w:pPr>
      <w:r>
        <w:rPr>
          <w:lang w:val="en-US"/>
        </w:rPr>
        <w:t>ACS values:</w:t>
      </w:r>
    </w:p>
    <w:p w14:paraId="166C7887" w14:textId="73D12ADC" w:rsidR="00970ED3" w:rsidRPr="00970ED3" w:rsidRDefault="00970ED3" w:rsidP="00970ED3">
      <w:pPr>
        <w:pStyle w:val="ListParagraph"/>
        <w:numPr>
          <w:ilvl w:val="1"/>
          <w:numId w:val="26"/>
        </w:numPr>
        <w:jc w:val="both"/>
        <w:rPr>
          <w:lang w:val="en-US"/>
        </w:rPr>
      </w:pPr>
      <w:r w:rsidRPr="00970ED3">
        <w:rPr>
          <w:lang w:val="en-US"/>
        </w:rPr>
        <w:t>23dBc for 30GHz frequency range</w:t>
      </w:r>
      <w:r w:rsidR="00D80CB0">
        <w:rPr>
          <w:lang w:val="en-US"/>
        </w:rPr>
        <w:t>.</w:t>
      </w:r>
    </w:p>
    <w:p w14:paraId="5A5881CC" w14:textId="2BDB40A2" w:rsidR="00970ED3" w:rsidRPr="00970ED3" w:rsidRDefault="00970ED3" w:rsidP="00970ED3">
      <w:pPr>
        <w:pStyle w:val="ListParagraph"/>
        <w:numPr>
          <w:ilvl w:val="1"/>
          <w:numId w:val="26"/>
        </w:numPr>
        <w:jc w:val="both"/>
        <w:rPr>
          <w:lang w:val="en-US"/>
        </w:rPr>
      </w:pPr>
      <w:r w:rsidRPr="00970ED3">
        <w:rPr>
          <w:lang w:val="en-US"/>
        </w:rPr>
        <w:t>22dBc for 45GHz frequency range</w:t>
      </w:r>
      <w:r w:rsidR="00D80CB0">
        <w:rPr>
          <w:lang w:val="en-US"/>
        </w:rPr>
        <w:t>.</w:t>
      </w:r>
    </w:p>
    <w:p w14:paraId="28F9F713" w14:textId="5EFB745A" w:rsidR="00970ED3" w:rsidRDefault="00970ED3" w:rsidP="00970ED3">
      <w:pPr>
        <w:pStyle w:val="ListParagraph"/>
        <w:numPr>
          <w:ilvl w:val="0"/>
          <w:numId w:val="26"/>
        </w:numPr>
        <w:jc w:val="both"/>
        <w:rPr>
          <w:lang w:val="en-US"/>
        </w:rPr>
      </w:pPr>
      <w:r>
        <w:rPr>
          <w:lang w:val="en-US"/>
        </w:rPr>
        <w:t>ACS jammer channel bandwidth</w:t>
      </w:r>
      <w:r w:rsidR="00D80CB0">
        <w:rPr>
          <w:lang w:val="en-US"/>
        </w:rPr>
        <w:t>s:</w:t>
      </w:r>
      <w:r>
        <w:rPr>
          <w:lang w:val="en-US"/>
        </w:rPr>
        <w:t xml:space="preserve"> </w:t>
      </w:r>
    </w:p>
    <w:p w14:paraId="2F8D9D63" w14:textId="63424AA0" w:rsidR="00970ED3" w:rsidRDefault="00970ED3" w:rsidP="00970ED3">
      <w:pPr>
        <w:pStyle w:val="ListParagraph"/>
        <w:numPr>
          <w:ilvl w:val="1"/>
          <w:numId w:val="26"/>
        </w:numPr>
        <w:jc w:val="both"/>
        <w:rPr>
          <w:lang w:val="en-US"/>
        </w:rPr>
      </w:pPr>
      <w:r>
        <w:rPr>
          <w:lang w:val="en-US"/>
        </w:rPr>
        <w:t>50MHz, 100MHz and 200MHz. For each test case channel bandwidth of the wanted signal is the same as the</w:t>
      </w:r>
      <w:r w:rsidR="0090247D">
        <w:rPr>
          <w:lang w:val="en-US"/>
        </w:rPr>
        <w:t xml:space="preserve"> ACS aggressor signal.</w:t>
      </w:r>
    </w:p>
    <w:p w14:paraId="0135C15B" w14:textId="384BCC77" w:rsidR="0090247D" w:rsidRDefault="0090247D" w:rsidP="0090247D">
      <w:pPr>
        <w:jc w:val="both"/>
        <w:rPr>
          <w:lang w:val="en-US"/>
        </w:rPr>
      </w:pPr>
      <w:r>
        <w:rPr>
          <w:lang w:val="en-US"/>
        </w:rPr>
        <w:t>Given the above agreement, what is missing for the in-band requirements is to define IBB. In particular, IBB value</w:t>
      </w:r>
      <w:r w:rsidR="001D4C5D">
        <w:rPr>
          <w:lang w:val="en-US"/>
        </w:rPr>
        <w:t>(s)</w:t>
      </w:r>
      <w:r>
        <w:rPr>
          <w:lang w:val="en-US"/>
        </w:rPr>
        <w:t xml:space="preserve"> and bandwidth</w:t>
      </w:r>
      <w:r w:rsidR="00D80CB0">
        <w:rPr>
          <w:lang w:val="en-US"/>
        </w:rPr>
        <w:t>(s) need</w:t>
      </w:r>
      <w:r>
        <w:rPr>
          <w:lang w:val="en-US"/>
        </w:rPr>
        <w:t xml:space="preserve"> to be determined.</w:t>
      </w:r>
      <w:r w:rsidR="001D4C5D">
        <w:rPr>
          <w:lang w:val="en-US"/>
        </w:rPr>
        <w:t xml:space="preserve"> </w:t>
      </w:r>
      <w:r w:rsidR="001D4C5D">
        <w:rPr>
          <w:lang w:val="en-US"/>
        </w:rPr>
        <w:fldChar w:fldCharType="begin"/>
      </w:r>
      <w:r w:rsidR="001D4C5D">
        <w:rPr>
          <w:lang w:val="en-US"/>
        </w:rPr>
        <w:instrText xml:space="preserve"> REF _Ref489522883 \h </w:instrText>
      </w:r>
      <w:r w:rsidR="001D4C5D">
        <w:rPr>
          <w:lang w:val="en-US"/>
        </w:rPr>
      </w:r>
      <w:r w:rsidR="001D4C5D">
        <w:rPr>
          <w:lang w:val="en-US"/>
        </w:rPr>
        <w:fldChar w:fldCharType="separate"/>
      </w:r>
      <w:r w:rsidR="00BA03AC">
        <w:t xml:space="preserve">Figure </w:t>
      </w:r>
      <w:r w:rsidR="00BA03AC">
        <w:rPr>
          <w:noProof/>
        </w:rPr>
        <w:t>1</w:t>
      </w:r>
      <w:r w:rsidR="001D4C5D">
        <w:rPr>
          <w:lang w:val="en-US"/>
        </w:rPr>
        <w:fldChar w:fldCharType="end"/>
      </w:r>
      <w:r w:rsidR="001D4C5D">
        <w:rPr>
          <w:lang w:val="en-US"/>
        </w:rPr>
        <w:t xml:space="preserve"> summarizes the in-band blockers and the missing parameters to be finalized.</w:t>
      </w:r>
    </w:p>
    <w:p w14:paraId="1A9DAE60" w14:textId="77777777" w:rsidR="001D4C5D" w:rsidRDefault="001D4C5D" w:rsidP="001D4C5D">
      <w:pPr>
        <w:keepNext/>
        <w:jc w:val="center"/>
      </w:pPr>
      <w:r>
        <w:rPr>
          <w:noProof/>
          <w:lang w:val="en-US"/>
        </w:rPr>
        <w:drawing>
          <wp:inline distT="0" distB="0" distL="0" distR="0" wp14:anchorId="45E0C63F" wp14:editId="5549749B">
            <wp:extent cx="5302885" cy="2316073"/>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8642" cy="2318587"/>
                    </a:xfrm>
                    <a:prstGeom prst="rect">
                      <a:avLst/>
                    </a:prstGeom>
                    <a:noFill/>
                  </pic:spPr>
                </pic:pic>
              </a:graphicData>
            </a:graphic>
          </wp:inline>
        </w:drawing>
      </w:r>
    </w:p>
    <w:p w14:paraId="3861B12F" w14:textId="53E5016B" w:rsidR="0090247D" w:rsidRPr="0090247D" w:rsidRDefault="001D4C5D" w:rsidP="001D4C5D">
      <w:pPr>
        <w:pStyle w:val="Caption"/>
        <w:jc w:val="center"/>
        <w:rPr>
          <w:lang w:val="en-US"/>
        </w:rPr>
      </w:pPr>
      <w:bookmarkStart w:id="2" w:name="_Ref489522883"/>
      <w:r>
        <w:t xml:space="preserve">Figure </w:t>
      </w:r>
      <w:r>
        <w:fldChar w:fldCharType="begin"/>
      </w:r>
      <w:r>
        <w:instrText xml:space="preserve"> SEQ Figure \* ARABIC </w:instrText>
      </w:r>
      <w:r>
        <w:fldChar w:fldCharType="separate"/>
      </w:r>
      <w:r w:rsidR="00BA03AC">
        <w:rPr>
          <w:noProof/>
        </w:rPr>
        <w:t>1</w:t>
      </w:r>
      <w:r>
        <w:fldChar w:fldCharType="end"/>
      </w:r>
      <w:bookmarkEnd w:id="2"/>
      <w:r>
        <w:t xml:space="preserve">. </w:t>
      </w:r>
      <w:r w:rsidRPr="00802B40">
        <w:t>Pictorial representation of wanted, ACS and IBB signals</w:t>
      </w:r>
      <w:r>
        <w:t>.</w:t>
      </w:r>
    </w:p>
    <w:p w14:paraId="780D7692" w14:textId="43076E68" w:rsidR="00EF34CA" w:rsidRDefault="001D4C5D" w:rsidP="00065A12">
      <w:pPr>
        <w:pStyle w:val="Heading2"/>
        <w:rPr>
          <w:lang w:val="en-US"/>
        </w:rPr>
      </w:pPr>
      <w:r>
        <w:rPr>
          <w:lang w:val="en-US"/>
        </w:rPr>
        <w:t>IBB bandwidth and number of cases</w:t>
      </w:r>
    </w:p>
    <w:p w14:paraId="165AA4DE" w14:textId="643C288B" w:rsidR="0040474E" w:rsidRDefault="001D4C5D" w:rsidP="0040474E">
      <w:pPr>
        <w:jc w:val="both"/>
        <w:rPr>
          <w:b/>
          <w:i/>
          <w:lang w:val="en-US"/>
        </w:rPr>
      </w:pPr>
      <w:r>
        <w:rPr>
          <w:lang w:val="en-US"/>
        </w:rPr>
        <w:t>The first question to be answer</w:t>
      </w:r>
      <w:r w:rsidR="00D52539">
        <w:rPr>
          <w:lang w:val="en-US"/>
        </w:rPr>
        <w:t>ed</w:t>
      </w:r>
      <w:r>
        <w:rPr>
          <w:lang w:val="en-US"/>
        </w:rPr>
        <w:t xml:space="preserve"> is the channel bandwidth for aggressor IBB and the number of IBB jammers to be specified. As we already mentioned, ACS test signal has same bandwidth as wanted signal. When looking at IBB, we need to consider the nature of mmW band. Since this band will be </w:t>
      </w:r>
      <w:r w:rsidR="00D52539">
        <w:rPr>
          <w:lang w:val="en-US"/>
        </w:rPr>
        <w:t>allocated</w:t>
      </w:r>
      <w:r>
        <w:rPr>
          <w:lang w:val="en-US"/>
        </w:rPr>
        <w:t xml:space="preserve"> for NR eMBB deployment it is expected that </w:t>
      </w:r>
      <w:r w:rsidR="006A41F1">
        <w:rPr>
          <w:lang w:val="en-US"/>
        </w:rPr>
        <w:lastRenderedPageBreak/>
        <w:t xml:space="preserve">in-band adjacent channels will have similar bandwidth compared to the wanted signal. In other words, it is not expected </w:t>
      </w:r>
      <w:r w:rsidR="00596DA7">
        <w:rPr>
          <w:lang w:val="en-US"/>
        </w:rPr>
        <w:t>that</w:t>
      </w:r>
      <w:r w:rsidR="006A41F1">
        <w:rPr>
          <w:lang w:val="en-US"/>
        </w:rPr>
        <w:t xml:space="preserve"> narrow</w:t>
      </w:r>
      <w:r w:rsidR="00596DA7">
        <w:rPr>
          <w:lang w:val="en-US"/>
        </w:rPr>
        <w:t xml:space="preserve">er </w:t>
      </w:r>
      <w:r w:rsidR="006A41F1">
        <w:rPr>
          <w:lang w:val="en-US"/>
        </w:rPr>
        <w:t xml:space="preserve">band systems </w:t>
      </w:r>
      <w:r w:rsidR="00596DA7">
        <w:rPr>
          <w:lang w:val="en-US"/>
        </w:rPr>
        <w:t>will operate</w:t>
      </w:r>
      <w:r w:rsidR="006A41F1">
        <w:rPr>
          <w:lang w:val="en-US"/>
        </w:rPr>
        <w:t xml:space="preserve"> in the same band. From this perspective, defining an IBB aggressor signal with same bandwidth as the wanted signal seems to be the natural choice:  </w:t>
      </w:r>
    </w:p>
    <w:p w14:paraId="0AE587F7" w14:textId="7EC1C15C" w:rsidR="006A41F1" w:rsidRDefault="00065A12" w:rsidP="006A41F1">
      <w:pPr>
        <w:jc w:val="both"/>
        <w:rPr>
          <w:b/>
          <w:i/>
          <w:lang w:val="en-US"/>
        </w:rPr>
      </w:pPr>
      <w:r w:rsidRPr="00065A12">
        <w:rPr>
          <w:b/>
          <w:i/>
          <w:lang w:val="en-US"/>
        </w:rPr>
        <w:t>Proposal 1</w:t>
      </w:r>
      <w:r>
        <w:rPr>
          <w:b/>
          <w:i/>
          <w:lang w:val="en-US"/>
        </w:rPr>
        <w:t xml:space="preserve">: </w:t>
      </w:r>
      <w:r w:rsidR="006A41F1">
        <w:rPr>
          <w:b/>
          <w:i/>
          <w:lang w:val="en-US"/>
        </w:rPr>
        <w:t>For the UE IBB test in mmW, the bandwidth of wanted and unwanted signals should be the same.</w:t>
      </w:r>
    </w:p>
    <w:p w14:paraId="0E5B4570" w14:textId="4D7C003E" w:rsidR="00431944" w:rsidRDefault="00596DA7" w:rsidP="00065A12">
      <w:pPr>
        <w:jc w:val="both"/>
        <w:rPr>
          <w:lang w:val="en-US"/>
        </w:rPr>
      </w:pPr>
      <w:r>
        <w:rPr>
          <w:lang w:val="en-US"/>
        </w:rPr>
        <w:t xml:space="preserve">Another aspect to be finalized is the number of non-adjacent aggressor signals, i.e. number of IBB. In LTE specifications, two cases for in-band blocking tests are specified, namely Case 1 and Case 2. </w:t>
      </w:r>
      <w:r w:rsidR="00860D0C">
        <w:rPr>
          <w:lang w:val="en-US"/>
        </w:rPr>
        <w:t xml:space="preserve">If we consider the largest LTE channel bandwidth, i.e. 20MHz, a total frequency span of 15MHz adjacent </w:t>
      </w:r>
      <w:r w:rsidR="00296C72">
        <w:rPr>
          <w:lang w:val="en-US"/>
        </w:rPr>
        <w:t xml:space="preserve">to </w:t>
      </w:r>
      <w:r w:rsidR="00860D0C">
        <w:rPr>
          <w:lang w:val="en-US"/>
        </w:rPr>
        <w:t>the wanted signals is covered by blocker tests, i.e. adjacent 5MHz are tested with ACS test, second and third</w:t>
      </w:r>
      <w:r w:rsidR="00296C72">
        <w:rPr>
          <w:lang w:val="en-US"/>
        </w:rPr>
        <w:t xml:space="preserve"> non-</w:t>
      </w:r>
      <w:r w:rsidR="00860D0C">
        <w:rPr>
          <w:lang w:val="en-US"/>
        </w:rPr>
        <w:t xml:space="preserve">adjacent 5MHz are tested with IBB Case 1 and Case 2 tests, respectively. As a consequence, the total amount of adjacent frequency region which is subject to in-band blocking test is less than the channel BW for 20MHz LTE signal (15MHz vs 20MHz). In NR, we believe that a larger frequency region should be covered. </w:t>
      </w:r>
      <w:r w:rsidR="00983939">
        <w:rPr>
          <w:lang w:val="en-US"/>
        </w:rPr>
        <w:t xml:space="preserve">By accounting </w:t>
      </w:r>
      <w:r w:rsidR="00C80BCE">
        <w:rPr>
          <w:lang w:val="en-US"/>
        </w:rPr>
        <w:t>together</w:t>
      </w:r>
      <w:r w:rsidR="00983939">
        <w:rPr>
          <w:lang w:val="en-US"/>
        </w:rPr>
        <w:t xml:space="preserve"> the already agreed ACS test for mmW and our Proposal 1, a total frequency range of 400MHz would be covered with ACS and IBB 1. We believe that this is sufficient to guarantee performance in case of multiple adjacent operators and, therefore, we do not see the need to specify a second IBB test case.</w:t>
      </w:r>
      <w:r w:rsidR="00860D0C">
        <w:rPr>
          <w:lang w:val="en-US"/>
        </w:rPr>
        <w:t xml:space="preserve">  </w:t>
      </w:r>
      <w:r>
        <w:rPr>
          <w:lang w:val="en-US"/>
        </w:rPr>
        <w:t xml:space="preserve">  </w:t>
      </w:r>
    </w:p>
    <w:p w14:paraId="4F62ECC8" w14:textId="5DC31B92" w:rsidR="00983939" w:rsidRDefault="00983939" w:rsidP="00983939">
      <w:pPr>
        <w:jc w:val="both"/>
        <w:rPr>
          <w:b/>
          <w:i/>
          <w:lang w:val="en-US"/>
        </w:rPr>
      </w:pPr>
      <w:r w:rsidRPr="00065A12">
        <w:rPr>
          <w:b/>
          <w:i/>
          <w:lang w:val="en-US"/>
        </w:rPr>
        <w:t xml:space="preserve">Proposal </w:t>
      </w:r>
      <w:r>
        <w:rPr>
          <w:b/>
          <w:i/>
          <w:lang w:val="en-US"/>
        </w:rPr>
        <w:t>2: Only one IBB test case covering the first non-adjacent channel should be specified as UE requirement in mmW.</w:t>
      </w:r>
    </w:p>
    <w:p w14:paraId="2105AA19" w14:textId="214B1728" w:rsidR="00983939" w:rsidRPr="00983939" w:rsidRDefault="00983939" w:rsidP="00983939">
      <w:pPr>
        <w:jc w:val="both"/>
        <w:rPr>
          <w:lang w:val="en-US"/>
        </w:rPr>
      </w:pPr>
      <w:r w:rsidRPr="00983939">
        <w:rPr>
          <w:lang w:val="en-US"/>
        </w:rPr>
        <w:t>In</w:t>
      </w:r>
      <w:r>
        <w:rPr>
          <w:lang w:val="en-US"/>
        </w:rPr>
        <w:t xml:space="preserve"> </w:t>
      </w:r>
      <w:r w:rsidR="00FA241B">
        <w:rPr>
          <w:lang w:val="en-US"/>
        </w:rPr>
        <w:t>the next section, we will focus on the IBB signal level to be specified in the test.</w:t>
      </w:r>
    </w:p>
    <w:p w14:paraId="5064F66D" w14:textId="736D2CD7" w:rsidR="00FA241B" w:rsidRDefault="00F30DEB" w:rsidP="00FA241B">
      <w:pPr>
        <w:pStyle w:val="Heading2"/>
        <w:rPr>
          <w:lang w:val="en-US"/>
        </w:rPr>
      </w:pPr>
      <w:r>
        <w:rPr>
          <w:lang w:val="en-US"/>
        </w:rPr>
        <w:t>IBB signal level</w:t>
      </w:r>
    </w:p>
    <w:p w14:paraId="7EC59B1A" w14:textId="60B6D2AF" w:rsidR="00FA241B" w:rsidRDefault="00FA241B" w:rsidP="00224CA8">
      <w:pPr>
        <w:jc w:val="both"/>
        <w:rPr>
          <w:lang w:val="en-US"/>
        </w:rPr>
      </w:pPr>
      <w:r w:rsidRPr="00FA241B">
        <w:rPr>
          <w:lang w:val="en-US"/>
        </w:rPr>
        <w:t xml:space="preserve">The first </w:t>
      </w:r>
      <w:r>
        <w:rPr>
          <w:lang w:val="en-US"/>
        </w:rPr>
        <w:t xml:space="preserve">thing to clarify when determining the IBB requirement is to understand the impact on system level performance. </w:t>
      </w:r>
      <w:r w:rsidR="00FC017C">
        <w:rPr>
          <w:lang w:val="en-US"/>
        </w:rPr>
        <w:t xml:space="preserve">The WF on ACS value </w:t>
      </w:r>
      <w:r w:rsidR="00FC017C">
        <w:rPr>
          <w:lang w:val="en-US"/>
        </w:rPr>
        <w:fldChar w:fldCharType="begin"/>
      </w:r>
      <w:r w:rsidR="00FC017C">
        <w:rPr>
          <w:lang w:val="en-US"/>
        </w:rPr>
        <w:instrText xml:space="preserve"> REF _Ref489521993 \r \h </w:instrText>
      </w:r>
      <w:r w:rsidR="00FC017C">
        <w:rPr>
          <w:lang w:val="en-US"/>
        </w:rPr>
      </w:r>
      <w:r w:rsidR="00FC017C">
        <w:rPr>
          <w:lang w:val="en-US"/>
        </w:rPr>
        <w:fldChar w:fldCharType="separate"/>
      </w:r>
      <w:r w:rsidR="00BA03AC">
        <w:rPr>
          <w:lang w:val="en-US"/>
        </w:rPr>
        <w:t>[1]</w:t>
      </w:r>
      <w:r w:rsidR="00FC017C">
        <w:rPr>
          <w:lang w:val="en-US"/>
        </w:rPr>
        <w:fldChar w:fldCharType="end"/>
      </w:r>
      <w:r w:rsidR="00FC017C">
        <w:rPr>
          <w:lang w:val="en-US"/>
        </w:rPr>
        <w:t xml:space="preserve"> was based on the outcome of the adjacent channel coexistence study </w:t>
      </w:r>
      <w:r w:rsidR="00224CA8">
        <w:rPr>
          <w:lang w:val="en-US"/>
        </w:rPr>
        <w:t>performed during the work item phase. In that study</w:t>
      </w:r>
      <w:r w:rsidR="007A5D76">
        <w:rPr>
          <w:lang w:val="en-US"/>
        </w:rPr>
        <w:t>,</w:t>
      </w:r>
      <w:r w:rsidR="00224CA8">
        <w:rPr>
          <w:lang w:val="en-US"/>
        </w:rPr>
        <w:t xml:space="preserve"> a scenario with two adjacent operators, i.e. victim and aggressor, operating on 200MHz channel BW was performed. The performance metric which was analyzed is </w:t>
      </w:r>
      <w:r w:rsidR="00224CA8" w:rsidRPr="00224CA8">
        <w:rPr>
          <w:lang w:val="en-US"/>
        </w:rPr>
        <w:t>Adjacent Channel Interference</w:t>
      </w:r>
      <w:r w:rsidR="00224CA8">
        <w:rPr>
          <w:lang w:val="en-US"/>
        </w:rPr>
        <w:t xml:space="preserve"> Ratio (ACIR), </w:t>
      </w:r>
      <w:r w:rsidR="00224CA8" w:rsidRPr="00224CA8">
        <w:rPr>
          <w:lang w:val="en-US"/>
        </w:rPr>
        <w:t xml:space="preserve"> the ratio of the total power transmitted from a</w:t>
      </w:r>
      <w:r w:rsidR="00224CA8">
        <w:rPr>
          <w:lang w:val="en-US"/>
        </w:rPr>
        <w:t xml:space="preserve"> aggressor</w:t>
      </w:r>
      <w:r w:rsidR="00224CA8" w:rsidRPr="00224CA8">
        <w:rPr>
          <w:lang w:val="en-US"/>
        </w:rPr>
        <w:t xml:space="preserve"> source to the total</w:t>
      </w:r>
      <w:r w:rsidR="00224CA8">
        <w:rPr>
          <w:lang w:val="en-US"/>
        </w:rPr>
        <w:t xml:space="preserve"> </w:t>
      </w:r>
      <w:r w:rsidR="00224CA8" w:rsidRPr="00224CA8">
        <w:rPr>
          <w:lang w:val="en-US"/>
        </w:rPr>
        <w:t>interference power affecti</w:t>
      </w:r>
      <w:r w:rsidR="00224CA8">
        <w:rPr>
          <w:lang w:val="en-US"/>
        </w:rPr>
        <w:t>ng the</w:t>
      </w:r>
      <w:r w:rsidR="00224CA8" w:rsidRPr="00224CA8">
        <w:rPr>
          <w:lang w:val="en-US"/>
        </w:rPr>
        <w:t xml:space="preserve"> victim receiver, resulting from both transmitter and receiver</w:t>
      </w:r>
      <w:r w:rsidR="00224CA8">
        <w:rPr>
          <w:lang w:val="en-US"/>
        </w:rPr>
        <w:t xml:space="preserve"> </w:t>
      </w:r>
      <w:r w:rsidR="00224CA8" w:rsidRPr="00224CA8">
        <w:rPr>
          <w:lang w:val="en-US"/>
        </w:rPr>
        <w:t>imperfections.</w:t>
      </w:r>
      <w:r w:rsidR="00224CA8">
        <w:rPr>
          <w:lang w:val="en-US"/>
        </w:rPr>
        <w:t xml:space="preserve"> Based on the agreed ACIR value, ACS and ACLR were then derived by sharing the “pain” between Tx and Rx imperfections.</w:t>
      </w:r>
    </w:p>
    <w:p w14:paraId="7C285287" w14:textId="62E531ED" w:rsidR="00224CA8" w:rsidRDefault="00224CA8" w:rsidP="00224CA8">
      <w:pPr>
        <w:jc w:val="both"/>
        <w:rPr>
          <w:lang w:val="en-US"/>
        </w:rPr>
      </w:pPr>
      <w:r>
        <w:rPr>
          <w:lang w:val="en-US"/>
        </w:rPr>
        <w:t>In case of two operators ACIR is a function of victim ACS and aggressor ACLR:</w:t>
      </w:r>
    </w:p>
    <w:p w14:paraId="5EABC7EA" w14:textId="77926DA4" w:rsidR="00224CA8" w:rsidRPr="00224CA8" w:rsidRDefault="00224CA8" w:rsidP="00224CA8">
      <w:pPr>
        <w:jc w:val="both"/>
        <w:rPr>
          <w:lang w:val="en-US"/>
        </w:rPr>
      </w:pPr>
      <m:oMathPara>
        <m:oMath>
          <m:r>
            <w:rPr>
              <w:rFonts w:ascii="Cambria Math" w:hAnsi="Cambria Math"/>
            </w:rPr>
            <m:t>ACIR≅</m:t>
          </m:r>
          <m:f>
            <m:fPr>
              <m:ctrlPr>
                <w:rPr>
                  <w:rFonts w:ascii="Cambria Math" w:hAnsi="Cambria Math"/>
                  <w:bCs/>
                  <w:i/>
                  <w:iCs/>
                </w:rPr>
              </m:ctrlPr>
            </m:fPr>
            <m:num>
              <m:r>
                <w:rPr>
                  <w:rFonts w:ascii="Cambria Math" w:hAnsi="Cambria Math"/>
                </w:rPr>
                <m:t>1</m:t>
              </m:r>
            </m:num>
            <m:den>
              <m:f>
                <m:fPr>
                  <m:ctrlPr>
                    <w:rPr>
                      <w:rFonts w:ascii="Cambria Math" w:hAnsi="Cambria Math"/>
                      <w:bCs/>
                      <w:i/>
                      <w:iCs/>
                    </w:rPr>
                  </m:ctrlPr>
                </m:fPr>
                <m:num>
                  <m:r>
                    <w:rPr>
                      <w:rFonts w:ascii="Cambria Math" w:hAnsi="Cambria Math"/>
                    </w:rPr>
                    <m:t>1</m:t>
                  </m:r>
                </m:num>
                <m:den>
                  <m:r>
                    <w:rPr>
                      <w:rFonts w:ascii="Cambria Math" w:hAnsi="Cambria Math"/>
                    </w:rPr>
                    <m:t>ACLR</m:t>
                  </m:r>
                </m:den>
              </m:f>
              <m:r>
                <w:rPr>
                  <w:rFonts w:ascii="Cambria Math" w:hAnsi="Cambria Math"/>
                </w:rPr>
                <m:t>+</m:t>
              </m:r>
              <m:f>
                <m:fPr>
                  <m:ctrlPr>
                    <w:rPr>
                      <w:rFonts w:ascii="Cambria Math" w:hAnsi="Cambria Math"/>
                      <w:bCs/>
                      <w:i/>
                      <w:iCs/>
                    </w:rPr>
                  </m:ctrlPr>
                </m:fPr>
                <m:num>
                  <m:r>
                    <w:rPr>
                      <w:rFonts w:ascii="Cambria Math" w:hAnsi="Cambria Math"/>
                    </w:rPr>
                    <m:t>1</m:t>
                  </m:r>
                </m:num>
                <m:den>
                  <m:r>
                    <w:rPr>
                      <w:rFonts w:ascii="Cambria Math" w:hAnsi="Cambria Math"/>
                    </w:rPr>
                    <m:t>ACS</m:t>
                  </m:r>
                </m:den>
              </m:f>
            </m:den>
          </m:f>
        </m:oMath>
      </m:oMathPara>
    </w:p>
    <w:p w14:paraId="27A6A906" w14:textId="5BA7E68E" w:rsidR="00224CA8" w:rsidRDefault="007A5D76" w:rsidP="002C1E15">
      <w:pPr>
        <w:jc w:val="both"/>
        <w:rPr>
          <w:lang w:val="en-US"/>
        </w:rPr>
      </w:pPr>
      <w:r>
        <w:rPr>
          <w:lang w:val="en-US"/>
        </w:rPr>
        <w:t>If we now analyze</w:t>
      </w:r>
      <w:r w:rsidR="00224CA8">
        <w:rPr>
          <w:lang w:val="en-US"/>
        </w:rPr>
        <w:t xml:space="preserve"> a scenario with 3 operators</w:t>
      </w:r>
      <w:r>
        <w:rPr>
          <w:lang w:val="en-US"/>
        </w:rPr>
        <w:t>,</w:t>
      </w:r>
      <w:r w:rsidR="00224CA8">
        <w:rPr>
          <w:lang w:val="en-US"/>
        </w:rPr>
        <w:t xml:space="preserve"> a similar metric can be defined by considering the impact from the third operator (non-adjacent aggressor to the victim operator). </w:t>
      </w:r>
      <w:r w:rsidR="004012DB">
        <w:rPr>
          <w:lang w:val="en-US"/>
        </w:rPr>
        <w:t xml:space="preserve">As illustrated in </w:t>
      </w:r>
      <w:r w:rsidR="004012DB">
        <w:rPr>
          <w:lang w:val="en-US"/>
        </w:rPr>
        <w:fldChar w:fldCharType="begin"/>
      </w:r>
      <w:r w:rsidR="004012DB">
        <w:rPr>
          <w:lang w:val="en-US"/>
        </w:rPr>
        <w:instrText xml:space="preserve"> REF _Ref489888905 \h </w:instrText>
      </w:r>
      <w:r w:rsidR="004012DB">
        <w:rPr>
          <w:lang w:val="en-US"/>
        </w:rPr>
      </w:r>
      <w:r w:rsidR="004012DB">
        <w:rPr>
          <w:lang w:val="en-US"/>
        </w:rPr>
        <w:fldChar w:fldCharType="separate"/>
      </w:r>
      <w:r w:rsidR="00BA03AC">
        <w:t xml:space="preserve">Figure </w:t>
      </w:r>
      <w:r w:rsidR="00BA03AC">
        <w:rPr>
          <w:noProof/>
        </w:rPr>
        <w:t>2</w:t>
      </w:r>
      <w:r w:rsidR="004012DB">
        <w:rPr>
          <w:lang w:val="en-US"/>
        </w:rPr>
        <w:fldChar w:fldCharType="end"/>
      </w:r>
      <w:r w:rsidR="004012DB">
        <w:rPr>
          <w:lang w:val="en-US"/>
        </w:rPr>
        <w:t>, the relevant parameters for coexistence are the following:</w:t>
      </w:r>
    </w:p>
    <w:p w14:paraId="0F86C70C" w14:textId="48000AE0" w:rsidR="004012DB" w:rsidRDefault="004012DB" w:rsidP="004012DB">
      <w:pPr>
        <w:pStyle w:val="ListParagraph"/>
        <w:numPr>
          <w:ilvl w:val="0"/>
          <w:numId w:val="29"/>
        </w:numPr>
        <w:jc w:val="both"/>
        <w:rPr>
          <w:lang w:val="en-US"/>
        </w:rPr>
      </w:pPr>
      <w:r>
        <w:rPr>
          <w:lang w:val="en-US"/>
        </w:rPr>
        <w:t>Aggressor 1 impacts the victim with its firs ACLR value, while the victim rejection capability compared to aggressor 1 are determined by the ACS value.</w:t>
      </w:r>
    </w:p>
    <w:p w14:paraId="40B756C3" w14:textId="6EFD0D00" w:rsidR="004012DB" w:rsidRPr="004012DB" w:rsidRDefault="004012DB" w:rsidP="004012DB">
      <w:pPr>
        <w:pStyle w:val="ListParagraph"/>
        <w:numPr>
          <w:ilvl w:val="0"/>
          <w:numId w:val="29"/>
        </w:numPr>
        <w:jc w:val="both"/>
        <w:rPr>
          <w:lang w:val="en-US"/>
        </w:rPr>
      </w:pPr>
      <w:r>
        <w:rPr>
          <w:lang w:val="en-US"/>
        </w:rPr>
        <w:t xml:space="preserve">Aggressor 2 has direct impact on receiver channel with its second ACLR (ACLR2) value. The total victim rejection of aggressor 2 can be split in two components: the victim will reject first ACLR of aggressor 2 through its ACS capability, while IBB requirement will determine the rejection of in-band aggressor 2 signal. </w:t>
      </w:r>
    </w:p>
    <w:p w14:paraId="3684BBA3" w14:textId="40DFC059" w:rsidR="00224CA8" w:rsidRDefault="004012DB" w:rsidP="002C1E15">
      <w:pPr>
        <w:jc w:val="both"/>
        <w:rPr>
          <w:lang w:val="en-US"/>
        </w:rPr>
      </w:pPr>
      <w:r>
        <w:rPr>
          <w:lang w:val="en-US"/>
        </w:rPr>
        <w:t>If we want to formalize the impact of aggressor 2 on the victim operator, we can define a parameter equivalent to ACIR as follows:</w:t>
      </w:r>
    </w:p>
    <w:p w14:paraId="62E2EC46" w14:textId="147A1687" w:rsidR="004012DB" w:rsidRPr="00685CE2" w:rsidRDefault="004012DB" w:rsidP="002C1E15">
      <w:pPr>
        <w:jc w:val="both"/>
        <w:rPr>
          <w:bCs/>
          <w:iCs/>
        </w:rPr>
      </w:pPr>
      <m:oMathPara>
        <m:oMath>
          <m:r>
            <w:rPr>
              <w:rFonts w:ascii="Cambria Math" w:hAnsi="Cambria Math"/>
            </w:rPr>
            <m:t>ACI</m:t>
          </m:r>
          <m:sSub>
            <m:sSubPr>
              <m:ctrlPr>
                <w:rPr>
                  <w:rFonts w:ascii="Cambria Math" w:hAnsi="Cambria Math"/>
                  <w:bCs/>
                  <w:i/>
                  <w:iCs/>
                </w:rPr>
              </m:ctrlPr>
            </m:sSubPr>
            <m:e>
              <m:r>
                <w:rPr>
                  <w:rFonts w:ascii="Cambria Math" w:hAnsi="Cambria Math"/>
                </w:rPr>
                <m:t>R</m:t>
              </m:r>
            </m:e>
            <m:sub>
              <m:r>
                <w:rPr>
                  <w:rFonts w:ascii="Cambria Math" w:hAnsi="Cambria Math"/>
                </w:rPr>
                <m:t>second</m:t>
              </m:r>
            </m:sub>
          </m:sSub>
          <m:r>
            <w:rPr>
              <w:rFonts w:ascii="Cambria Math" w:hAnsi="Cambria Math"/>
            </w:rPr>
            <m:t>≅</m:t>
          </m:r>
          <m:f>
            <m:fPr>
              <m:ctrlPr>
                <w:rPr>
                  <w:rFonts w:ascii="Cambria Math" w:hAnsi="Cambria Math"/>
                  <w:bCs/>
                  <w:i/>
                  <w:iCs/>
                </w:rPr>
              </m:ctrlPr>
            </m:fPr>
            <m:num>
              <m:r>
                <w:rPr>
                  <w:rFonts w:ascii="Cambria Math" w:hAnsi="Cambria Math"/>
                </w:rPr>
                <m:t>1</m:t>
              </m:r>
            </m:num>
            <m:den>
              <m:f>
                <m:fPr>
                  <m:ctrlPr>
                    <w:rPr>
                      <w:rFonts w:ascii="Cambria Math" w:hAnsi="Cambria Math"/>
                      <w:bCs/>
                      <w:i/>
                      <w:iCs/>
                    </w:rPr>
                  </m:ctrlPr>
                </m:fPr>
                <m:num>
                  <m:r>
                    <w:rPr>
                      <w:rFonts w:ascii="Cambria Math" w:hAnsi="Cambria Math"/>
                    </w:rPr>
                    <m:t>1</m:t>
                  </m:r>
                </m:num>
                <m:den>
                  <m:r>
                    <w:rPr>
                      <w:rFonts w:ascii="Cambria Math" w:hAnsi="Cambria Math"/>
                    </w:rPr>
                    <m:t>ACLR2</m:t>
                  </m:r>
                </m:den>
              </m:f>
              <m:r>
                <w:rPr>
                  <w:rFonts w:ascii="Cambria Math" w:hAnsi="Cambria Math"/>
                </w:rPr>
                <m:t>+</m:t>
              </m:r>
              <m:f>
                <m:fPr>
                  <m:ctrlPr>
                    <w:rPr>
                      <w:rFonts w:ascii="Cambria Math" w:hAnsi="Cambria Math"/>
                      <w:bCs/>
                      <w:i/>
                      <w:iCs/>
                    </w:rPr>
                  </m:ctrlPr>
                </m:fPr>
                <m:num>
                  <m:r>
                    <w:rPr>
                      <w:rFonts w:ascii="Cambria Math" w:hAnsi="Cambria Math"/>
                    </w:rPr>
                    <m:t>1</m:t>
                  </m:r>
                </m:num>
                <m:den>
                  <m:r>
                    <w:rPr>
                      <w:rFonts w:ascii="Cambria Math" w:hAnsi="Cambria Math"/>
                    </w:rPr>
                    <m:t>ACLR∙ACS</m:t>
                  </m:r>
                </m:den>
              </m:f>
              <m:r>
                <w:rPr>
                  <w:rFonts w:ascii="Cambria Math" w:hAnsi="Cambria Math"/>
                </w:rPr>
                <m:t>+</m:t>
              </m:r>
              <m:f>
                <m:fPr>
                  <m:ctrlPr>
                    <w:rPr>
                      <w:rFonts w:ascii="Cambria Math" w:hAnsi="Cambria Math"/>
                      <w:bCs/>
                      <w:i/>
                      <w:iCs/>
                    </w:rPr>
                  </m:ctrlPr>
                </m:fPr>
                <m:num>
                  <m:r>
                    <w:rPr>
                      <w:rFonts w:ascii="Cambria Math" w:hAnsi="Cambria Math"/>
                    </w:rPr>
                    <m:t>1</m:t>
                  </m:r>
                </m:num>
                <m:den>
                  <m:r>
                    <w:rPr>
                      <w:rFonts w:ascii="Cambria Math" w:hAnsi="Cambria Math"/>
                    </w:rPr>
                    <m:t>IBB</m:t>
                  </m:r>
                </m:den>
              </m:f>
            </m:den>
          </m:f>
          <m:r>
            <w:rPr>
              <w:rFonts w:ascii="Cambria Math" w:hAnsi="Cambria Math"/>
            </w:rPr>
            <m:t>≅</m:t>
          </m:r>
          <m:f>
            <m:fPr>
              <m:ctrlPr>
                <w:rPr>
                  <w:rFonts w:ascii="Cambria Math" w:hAnsi="Cambria Math"/>
                  <w:bCs/>
                  <w:i/>
                  <w:iCs/>
                </w:rPr>
              </m:ctrlPr>
            </m:fPr>
            <m:num>
              <m:r>
                <w:rPr>
                  <w:rFonts w:ascii="Cambria Math" w:hAnsi="Cambria Math"/>
                </w:rPr>
                <m:t>1</m:t>
              </m:r>
            </m:num>
            <m:den>
              <m:f>
                <m:fPr>
                  <m:ctrlPr>
                    <w:rPr>
                      <w:rFonts w:ascii="Cambria Math" w:hAnsi="Cambria Math"/>
                      <w:bCs/>
                      <w:i/>
                      <w:iCs/>
                    </w:rPr>
                  </m:ctrlPr>
                </m:fPr>
                <m:num>
                  <m:r>
                    <w:rPr>
                      <w:rFonts w:ascii="Cambria Math" w:hAnsi="Cambria Math"/>
                    </w:rPr>
                    <m:t>1</m:t>
                  </m:r>
                </m:num>
                <m:den>
                  <m:r>
                    <w:rPr>
                      <w:rFonts w:ascii="Cambria Math" w:hAnsi="Cambria Math"/>
                    </w:rPr>
                    <m:t>ACLR2</m:t>
                  </m:r>
                </m:den>
              </m:f>
              <m:r>
                <w:rPr>
                  <w:rFonts w:ascii="Cambria Math" w:hAnsi="Cambria Math"/>
                </w:rPr>
                <m:t>+</m:t>
              </m:r>
              <m:f>
                <m:fPr>
                  <m:ctrlPr>
                    <w:rPr>
                      <w:rFonts w:ascii="Cambria Math" w:hAnsi="Cambria Math"/>
                      <w:bCs/>
                      <w:i/>
                      <w:iCs/>
                    </w:rPr>
                  </m:ctrlPr>
                </m:fPr>
                <m:num>
                  <m:r>
                    <w:rPr>
                      <w:rFonts w:ascii="Cambria Math" w:hAnsi="Cambria Math"/>
                    </w:rPr>
                    <m:t>1</m:t>
                  </m:r>
                </m:num>
                <m:den>
                  <m:r>
                    <w:rPr>
                      <w:rFonts w:ascii="Cambria Math" w:hAnsi="Cambria Math"/>
                    </w:rPr>
                    <m:t>IBB</m:t>
                  </m:r>
                </m:den>
              </m:f>
            </m:den>
          </m:f>
        </m:oMath>
      </m:oMathPara>
    </w:p>
    <w:p w14:paraId="2ABF0240" w14:textId="0220FBA0" w:rsidR="00685CE2" w:rsidRDefault="00685CE2" w:rsidP="002C1E15">
      <w:pPr>
        <w:jc w:val="both"/>
        <w:rPr>
          <w:bCs/>
          <w:iCs/>
        </w:rPr>
      </w:pPr>
      <w:r>
        <w:rPr>
          <w:bCs/>
          <w:iCs/>
        </w:rPr>
        <w:t xml:space="preserve">Where we account for the fact that the terms </w:t>
      </w:r>
      <m:oMath>
        <m:f>
          <m:fPr>
            <m:ctrlPr>
              <w:rPr>
                <w:rFonts w:ascii="Cambria Math" w:hAnsi="Cambria Math"/>
                <w:bCs/>
                <w:i/>
                <w:iCs/>
              </w:rPr>
            </m:ctrlPr>
          </m:fPr>
          <m:num>
            <m:r>
              <w:rPr>
                <w:rFonts w:ascii="Cambria Math" w:hAnsi="Cambria Math"/>
              </w:rPr>
              <m:t>1</m:t>
            </m:r>
          </m:num>
          <m:den>
            <m:r>
              <w:rPr>
                <w:rFonts w:ascii="Cambria Math" w:hAnsi="Cambria Math"/>
              </w:rPr>
              <m:t>ACLR∙ACS</m:t>
            </m:r>
          </m:den>
        </m:f>
      </m:oMath>
      <w:r>
        <w:rPr>
          <w:bCs/>
          <w:iCs/>
        </w:rPr>
        <w:t xml:space="preserve"> is negligible. Since BS ACLR2 should be also much higher than ACLR, IBB one is the main RF parameter impacting coexistence of aggressor 2 and victim operator.</w:t>
      </w:r>
    </w:p>
    <w:p w14:paraId="24F7BC4D" w14:textId="35E95835" w:rsidR="00685CE2" w:rsidRPr="00685CE2" w:rsidRDefault="00685CE2" w:rsidP="00685CE2">
      <w:pPr>
        <w:jc w:val="both"/>
        <w:rPr>
          <w:lang w:val="en-US"/>
        </w:rPr>
      </w:pPr>
      <w:r>
        <w:rPr>
          <w:lang w:val="en-US"/>
        </w:rPr>
        <w:t xml:space="preserve">In an ideal unrealistic case in which BS aggressor 1 and 2 generate the same signal affecting the UE, an equivalent total ACIR value could be derived as follows </w:t>
      </w:r>
      <m:oMath>
        <m:r>
          <w:rPr>
            <w:rFonts w:ascii="Cambria Math" w:hAnsi="Cambria Math"/>
            <w:lang w:val="en-US"/>
          </w:rPr>
          <m:t>ACI</m:t>
        </m:r>
        <m:sSub>
          <m:sSubPr>
            <m:ctrlPr>
              <w:rPr>
                <w:rFonts w:ascii="Cambria Math" w:hAnsi="Cambria Math"/>
                <w:bCs/>
                <w:i/>
                <w:iCs/>
                <w:lang w:val="en-US"/>
              </w:rPr>
            </m:ctrlPr>
          </m:sSubPr>
          <m:e>
            <m:r>
              <w:rPr>
                <w:rFonts w:ascii="Cambria Math" w:hAnsi="Cambria Math"/>
                <w:lang w:val="en-US"/>
              </w:rPr>
              <m:t>R</m:t>
            </m:r>
          </m:e>
          <m:sub>
            <m:r>
              <w:rPr>
                <w:rFonts w:ascii="Cambria Math" w:hAnsi="Cambria Math"/>
                <w:lang w:val="en-US"/>
              </w:rPr>
              <m:t>total</m:t>
            </m:r>
          </m:sub>
        </m:sSub>
        <m:r>
          <w:rPr>
            <w:rFonts w:ascii="Cambria Math" w:hAnsi="Cambria Math"/>
            <w:lang w:val="en-US"/>
          </w:rPr>
          <m:t>≅</m:t>
        </m:r>
        <m:f>
          <m:fPr>
            <m:ctrlPr>
              <w:rPr>
                <w:rFonts w:ascii="Cambria Math" w:hAnsi="Cambria Math"/>
                <w:bCs/>
                <w:i/>
                <w:iCs/>
                <w:lang w:val="en-US"/>
              </w:rPr>
            </m:ctrlPr>
          </m:fPr>
          <m:num>
            <m:r>
              <w:rPr>
                <w:rFonts w:ascii="Cambria Math" w:hAnsi="Cambria Math"/>
                <w:lang w:val="en-US"/>
              </w:rPr>
              <m:t>1</m:t>
            </m:r>
          </m:num>
          <m:den>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ACIR</m:t>
                </m:r>
              </m:den>
            </m:f>
            <m:r>
              <w:rPr>
                <w:rFonts w:ascii="Cambria Math" w:hAnsi="Cambria Math"/>
                <w:lang w:val="en-US"/>
              </w:rPr>
              <m:t>+</m:t>
            </m:r>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ACI</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second</m:t>
                    </m:r>
                  </m:sub>
                </m:sSub>
              </m:den>
            </m:f>
          </m:den>
        </m:f>
      </m:oMath>
      <w:r>
        <w:rPr>
          <w:bCs/>
          <w:iCs/>
          <w:lang w:val="en-US"/>
        </w:rPr>
        <w:t xml:space="preserve">. </w:t>
      </w:r>
    </w:p>
    <w:p w14:paraId="4357F188" w14:textId="49CC62C7" w:rsidR="00685CE2" w:rsidRDefault="00685CE2" w:rsidP="002C1E15">
      <w:pPr>
        <w:jc w:val="both"/>
        <w:rPr>
          <w:lang w:val="en-US"/>
        </w:rPr>
      </w:pPr>
      <w:r>
        <w:rPr>
          <w:lang w:val="en-US"/>
        </w:rPr>
        <w:t xml:space="preserve"> </w:t>
      </w:r>
    </w:p>
    <w:p w14:paraId="5F5934E0" w14:textId="77777777" w:rsidR="004012DB" w:rsidRDefault="00224CA8" w:rsidP="004012DB">
      <w:pPr>
        <w:keepNext/>
        <w:jc w:val="center"/>
      </w:pPr>
      <w:r>
        <w:rPr>
          <w:noProof/>
          <w:lang w:val="en-US"/>
        </w:rPr>
        <w:lastRenderedPageBreak/>
        <w:drawing>
          <wp:inline distT="0" distB="0" distL="0" distR="0" wp14:anchorId="773617BA" wp14:editId="6F9B470A">
            <wp:extent cx="4711899" cy="2392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7621" cy="2395586"/>
                    </a:xfrm>
                    <a:prstGeom prst="rect">
                      <a:avLst/>
                    </a:prstGeom>
                    <a:noFill/>
                  </pic:spPr>
                </pic:pic>
              </a:graphicData>
            </a:graphic>
          </wp:inline>
        </w:drawing>
      </w:r>
    </w:p>
    <w:p w14:paraId="12041905" w14:textId="1EAA73BE" w:rsidR="00224CA8" w:rsidRDefault="004012DB" w:rsidP="004012DB">
      <w:pPr>
        <w:pStyle w:val="Caption"/>
        <w:jc w:val="center"/>
      </w:pPr>
      <w:bookmarkStart w:id="3" w:name="_Ref489888905"/>
      <w:r>
        <w:t xml:space="preserve">Figure </w:t>
      </w:r>
      <w:r>
        <w:fldChar w:fldCharType="begin"/>
      </w:r>
      <w:r>
        <w:instrText xml:space="preserve"> SEQ Figure \* ARABIC </w:instrText>
      </w:r>
      <w:r>
        <w:fldChar w:fldCharType="separate"/>
      </w:r>
      <w:r w:rsidR="00BA03AC">
        <w:rPr>
          <w:noProof/>
        </w:rPr>
        <w:t>2</w:t>
      </w:r>
      <w:r>
        <w:fldChar w:fldCharType="end"/>
      </w:r>
      <w:bookmarkEnd w:id="3"/>
      <w:r>
        <w:t>. Example of RF parameters relevant to adjacent channel coexistence in case of 3 adjacent operators.</w:t>
      </w:r>
    </w:p>
    <w:p w14:paraId="57103432" w14:textId="62FFA20E" w:rsidR="00685CE2" w:rsidRDefault="00685CE2" w:rsidP="00685CE2">
      <w:pPr>
        <w:jc w:val="both"/>
      </w:pPr>
      <w:r>
        <w:t xml:space="preserve">In a real situation, the impact of aggressor 1 and aggressor 2 to the victim UE can be determined only through simulation due to the statistical behaviour of the different operators. </w:t>
      </w:r>
    </w:p>
    <w:p w14:paraId="29CDD8FD" w14:textId="4B6ACA31" w:rsidR="004012DB" w:rsidRDefault="00685CE2" w:rsidP="00685CE2">
      <w:pPr>
        <w:jc w:val="both"/>
      </w:pPr>
      <w:r>
        <w:t xml:space="preserve">In order to carefully evaluate the choice of IBB value for NR we performed Montecarlo simulations considering a scenario similar to the one depicted in </w:t>
      </w:r>
      <w:r>
        <w:fldChar w:fldCharType="begin"/>
      </w:r>
      <w:r>
        <w:instrText xml:space="preserve"> REF _Ref489888905 \h </w:instrText>
      </w:r>
      <w:r>
        <w:fldChar w:fldCharType="separate"/>
      </w:r>
      <w:r w:rsidR="00BA03AC">
        <w:t xml:space="preserve">Figure </w:t>
      </w:r>
      <w:r w:rsidR="00BA03AC">
        <w:rPr>
          <w:noProof/>
        </w:rPr>
        <w:t>2</w:t>
      </w:r>
      <w:r>
        <w:fldChar w:fldCharType="end"/>
      </w:r>
      <w:r>
        <w:t xml:space="preserve">. In particular, we adopted the following </w:t>
      </w:r>
      <w:r w:rsidR="00F337D7">
        <w:t>assumptions</w:t>
      </w:r>
      <w:r>
        <w:t>:</w:t>
      </w:r>
    </w:p>
    <w:p w14:paraId="16A4315C" w14:textId="2E33212F" w:rsidR="00F337D7" w:rsidRDefault="00F337D7" w:rsidP="00F337D7">
      <w:pPr>
        <w:pStyle w:val="ListParagraph"/>
        <w:numPr>
          <w:ilvl w:val="0"/>
          <w:numId w:val="30"/>
        </w:numPr>
        <w:jc w:val="both"/>
      </w:pPr>
      <w:r>
        <w:t xml:space="preserve">Simulation methodology and parameters identical to the one agreed in NR adjacent channel coex study </w:t>
      </w:r>
      <w:r>
        <w:fldChar w:fldCharType="begin"/>
      </w:r>
      <w:r>
        <w:instrText xml:space="preserve"> REF _Ref489890177 \r \h </w:instrText>
      </w:r>
      <w:r>
        <w:fldChar w:fldCharType="separate"/>
      </w:r>
      <w:r w:rsidR="00BA03AC">
        <w:t>[4]</w:t>
      </w:r>
      <w:r>
        <w:fldChar w:fldCharType="end"/>
      </w:r>
      <w:r w:rsidR="00377F1B">
        <w:t>.</w:t>
      </w:r>
    </w:p>
    <w:p w14:paraId="0416267D" w14:textId="6B1FE5A4" w:rsidR="00F337D7" w:rsidRDefault="00F337D7" w:rsidP="00F337D7">
      <w:pPr>
        <w:pStyle w:val="ListParagraph"/>
        <w:numPr>
          <w:ilvl w:val="0"/>
          <w:numId w:val="30"/>
        </w:numPr>
        <w:jc w:val="both"/>
      </w:pPr>
      <w:r>
        <w:t>For aggressor 1 we used BS ACLR and UE ACS according the values agreed in RAN4, i.e. 28dBc and 23dB, respectively</w:t>
      </w:r>
      <w:r w:rsidR="00377F1B">
        <w:t>.</w:t>
      </w:r>
    </w:p>
    <w:p w14:paraId="0EF292A1" w14:textId="3F312F0E" w:rsidR="00F337D7" w:rsidRDefault="00F337D7" w:rsidP="00F337D7">
      <w:pPr>
        <w:pStyle w:val="ListParagraph"/>
        <w:numPr>
          <w:ilvl w:val="0"/>
          <w:numId w:val="30"/>
        </w:numPr>
        <w:jc w:val="both"/>
      </w:pPr>
      <w:r>
        <w:t>Aggressor 2 is simulated as a completely independent operator compared to aggressor 1. ACLR and ACS are the same as the one agreed in RAN4, while BS ACLR2 is set to 40dBc.</w:t>
      </w:r>
    </w:p>
    <w:p w14:paraId="5CE70746" w14:textId="1387AE5C" w:rsidR="00F337D7" w:rsidRDefault="007109F2" w:rsidP="00F337D7">
      <w:pPr>
        <w:pStyle w:val="ListParagraph"/>
        <w:numPr>
          <w:ilvl w:val="0"/>
          <w:numId w:val="30"/>
        </w:numPr>
        <w:jc w:val="both"/>
      </w:pPr>
      <w:r>
        <w:t>Deployment:</w:t>
      </w:r>
      <w:r w:rsidR="00F337D7">
        <w:t xml:space="preserve"> Urban Macro scenario with Inter-Site distance (ISD) = 200m</w:t>
      </w:r>
      <w:r w:rsidR="0028105E">
        <w:t xml:space="preserve"> and 300m</w:t>
      </w:r>
      <w:r w:rsidR="00F337D7">
        <w:t>. Both coordinated and uncoordinated deployments were simulated.</w:t>
      </w:r>
    </w:p>
    <w:p w14:paraId="5D50EA1B" w14:textId="43AC4DCE" w:rsidR="0028105E" w:rsidRDefault="0028105E" w:rsidP="0028105E">
      <w:pPr>
        <w:pStyle w:val="Caption"/>
        <w:keepNext/>
        <w:jc w:val="center"/>
      </w:pPr>
      <w:bookmarkStart w:id="4" w:name="_Ref489972118"/>
      <w:r>
        <w:t xml:space="preserve">Table </w:t>
      </w:r>
      <w:r>
        <w:fldChar w:fldCharType="begin"/>
      </w:r>
      <w:r>
        <w:instrText xml:space="preserve"> SEQ Table \* ARABIC </w:instrText>
      </w:r>
      <w:r>
        <w:fldChar w:fldCharType="separate"/>
      </w:r>
      <w:r w:rsidR="00BA03AC">
        <w:rPr>
          <w:noProof/>
        </w:rPr>
        <w:t>1</w:t>
      </w:r>
      <w:r>
        <w:fldChar w:fldCharType="end"/>
      </w:r>
      <w:bookmarkEnd w:id="4"/>
      <w:r>
        <w:t>. Summary of adjacent channel coexistence simulation results in case of three coexisting operators.</w:t>
      </w:r>
    </w:p>
    <w:tbl>
      <w:tblPr>
        <w:tblW w:w="9780" w:type="dxa"/>
        <w:tblInd w:w="-10" w:type="dxa"/>
        <w:tblLook w:val="04A0" w:firstRow="1" w:lastRow="0" w:firstColumn="1" w:lastColumn="0" w:noHBand="0" w:noVBand="1"/>
      </w:tblPr>
      <w:tblGrid>
        <w:gridCol w:w="2840"/>
        <w:gridCol w:w="3100"/>
        <w:gridCol w:w="990"/>
        <w:gridCol w:w="950"/>
        <w:gridCol w:w="950"/>
        <w:gridCol w:w="950"/>
      </w:tblGrid>
      <w:tr w:rsidR="0028105E" w:rsidRPr="0028105E" w14:paraId="758BEF06" w14:textId="77777777" w:rsidTr="0028105E">
        <w:trPr>
          <w:trHeight w:val="312"/>
        </w:trPr>
        <w:tc>
          <w:tcPr>
            <w:tcW w:w="2840" w:type="dxa"/>
            <w:tcBorders>
              <w:top w:val="single" w:sz="8" w:space="0" w:color="auto"/>
              <w:left w:val="single" w:sz="8" w:space="0" w:color="auto"/>
              <w:bottom w:val="nil"/>
              <w:right w:val="single" w:sz="8" w:space="0" w:color="auto"/>
            </w:tcBorders>
            <w:shd w:val="clear" w:color="000000" w:fill="FFE699"/>
            <w:noWrap/>
            <w:vAlign w:val="center"/>
            <w:hideMark/>
          </w:tcPr>
          <w:p w14:paraId="5A703D33" w14:textId="199E55E9"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Deployment</w:t>
            </w:r>
          </w:p>
        </w:tc>
        <w:tc>
          <w:tcPr>
            <w:tcW w:w="3100" w:type="dxa"/>
            <w:tcBorders>
              <w:top w:val="single" w:sz="8" w:space="0" w:color="auto"/>
              <w:left w:val="nil"/>
              <w:bottom w:val="nil"/>
              <w:right w:val="single" w:sz="8" w:space="0" w:color="auto"/>
            </w:tcBorders>
            <w:shd w:val="clear" w:color="000000" w:fill="FFE699"/>
            <w:noWrap/>
            <w:vAlign w:val="center"/>
            <w:hideMark/>
          </w:tcPr>
          <w:p w14:paraId="1EE8A75E" w14:textId="77777777"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IBB [dB]</w:t>
            </w:r>
          </w:p>
        </w:tc>
        <w:tc>
          <w:tcPr>
            <w:tcW w:w="990" w:type="dxa"/>
            <w:tcBorders>
              <w:top w:val="single" w:sz="8" w:space="0" w:color="auto"/>
              <w:left w:val="nil"/>
              <w:bottom w:val="nil"/>
              <w:right w:val="single" w:sz="8" w:space="0" w:color="auto"/>
            </w:tcBorders>
            <w:shd w:val="clear" w:color="000000" w:fill="FFE699"/>
            <w:vAlign w:val="center"/>
            <w:hideMark/>
          </w:tcPr>
          <w:p w14:paraId="5E6992D2" w14:textId="74921458" w:rsidR="0028105E" w:rsidRPr="0028105E" w:rsidRDefault="00216102" w:rsidP="0028105E">
            <w:pPr>
              <w:spacing w:after="0"/>
              <w:jc w:val="center"/>
              <w:rPr>
                <w:b/>
                <w:bCs/>
                <w:color w:val="000000"/>
                <w:sz w:val="22"/>
                <w:szCs w:val="24"/>
                <w:lang w:val="en-US"/>
              </w:rPr>
            </w:pPr>
            <w:r>
              <w:rPr>
                <w:b/>
                <w:bCs/>
                <w:color w:val="000000"/>
                <w:sz w:val="22"/>
                <w:szCs w:val="24"/>
                <w:lang w:val="en-US"/>
              </w:rPr>
              <w:t>∞</w:t>
            </w:r>
          </w:p>
        </w:tc>
        <w:tc>
          <w:tcPr>
            <w:tcW w:w="950" w:type="dxa"/>
            <w:tcBorders>
              <w:top w:val="single" w:sz="8" w:space="0" w:color="auto"/>
              <w:left w:val="nil"/>
              <w:bottom w:val="nil"/>
              <w:right w:val="single" w:sz="8" w:space="0" w:color="auto"/>
            </w:tcBorders>
            <w:shd w:val="clear" w:color="000000" w:fill="FFE699"/>
            <w:vAlign w:val="center"/>
            <w:hideMark/>
          </w:tcPr>
          <w:p w14:paraId="13325BAE" w14:textId="77777777"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23</w:t>
            </w:r>
          </w:p>
        </w:tc>
        <w:tc>
          <w:tcPr>
            <w:tcW w:w="950" w:type="dxa"/>
            <w:tcBorders>
              <w:top w:val="single" w:sz="8" w:space="0" w:color="auto"/>
              <w:left w:val="nil"/>
              <w:bottom w:val="nil"/>
              <w:right w:val="single" w:sz="8" w:space="0" w:color="auto"/>
            </w:tcBorders>
            <w:shd w:val="clear" w:color="000000" w:fill="FFE699"/>
            <w:vAlign w:val="center"/>
            <w:hideMark/>
          </w:tcPr>
          <w:p w14:paraId="0DF3F071" w14:textId="77777777"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26</w:t>
            </w:r>
          </w:p>
        </w:tc>
        <w:tc>
          <w:tcPr>
            <w:tcW w:w="950" w:type="dxa"/>
            <w:tcBorders>
              <w:top w:val="single" w:sz="8" w:space="0" w:color="auto"/>
              <w:left w:val="nil"/>
              <w:bottom w:val="nil"/>
              <w:right w:val="single" w:sz="8" w:space="0" w:color="auto"/>
            </w:tcBorders>
            <w:shd w:val="clear" w:color="000000" w:fill="FFE699"/>
            <w:vAlign w:val="center"/>
            <w:hideMark/>
          </w:tcPr>
          <w:p w14:paraId="625BC470" w14:textId="77777777"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30</w:t>
            </w:r>
          </w:p>
        </w:tc>
      </w:tr>
      <w:tr w:rsidR="0028105E" w:rsidRPr="0028105E" w14:paraId="318E540F" w14:textId="77777777" w:rsidTr="0028105E">
        <w:trPr>
          <w:trHeight w:val="312"/>
        </w:trPr>
        <w:tc>
          <w:tcPr>
            <w:tcW w:w="2840" w:type="dxa"/>
            <w:vMerge w:val="restart"/>
            <w:tcBorders>
              <w:top w:val="single" w:sz="8" w:space="0" w:color="auto"/>
              <w:left w:val="single" w:sz="8" w:space="0" w:color="auto"/>
              <w:bottom w:val="single" w:sz="8" w:space="0" w:color="000000"/>
              <w:right w:val="single" w:sz="8" w:space="0" w:color="auto"/>
            </w:tcBorders>
            <w:shd w:val="clear" w:color="000000" w:fill="DDEBF7"/>
            <w:vAlign w:val="center"/>
            <w:hideMark/>
          </w:tcPr>
          <w:p w14:paraId="145DC06E" w14:textId="6ED18791"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 xml:space="preserve">UMa - ISD = 200m  </w:t>
            </w:r>
            <w:r w:rsidRPr="0028105E">
              <w:rPr>
                <w:b/>
                <w:bCs/>
                <w:color w:val="000000"/>
                <w:sz w:val="22"/>
                <w:szCs w:val="24"/>
                <w:lang w:val="en-US"/>
              </w:rPr>
              <w:br/>
              <w:t xml:space="preserve">Co-located </w:t>
            </w:r>
          </w:p>
        </w:tc>
        <w:tc>
          <w:tcPr>
            <w:tcW w:w="3100" w:type="dxa"/>
            <w:tcBorders>
              <w:top w:val="single" w:sz="8" w:space="0" w:color="auto"/>
              <w:left w:val="nil"/>
              <w:bottom w:val="single" w:sz="4" w:space="0" w:color="auto"/>
              <w:right w:val="nil"/>
            </w:tcBorders>
            <w:shd w:val="clear" w:color="000000" w:fill="DDEBF7"/>
            <w:noWrap/>
            <w:vAlign w:val="center"/>
            <w:hideMark/>
          </w:tcPr>
          <w:p w14:paraId="6BABEA30" w14:textId="77777777"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mean thput degradation</w:t>
            </w:r>
          </w:p>
        </w:tc>
        <w:tc>
          <w:tcPr>
            <w:tcW w:w="990" w:type="dxa"/>
            <w:tcBorders>
              <w:top w:val="single" w:sz="8" w:space="0" w:color="auto"/>
              <w:left w:val="single" w:sz="8" w:space="0" w:color="auto"/>
              <w:bottom w:val="single" w:sz="4" w:space="0" w:color="auto"/>
              <w:right w:val="single" w:sz="8" w:space="0" w:color="auto"/>
            </w:tcBorders>
            <w:shd w:val="clear" w:color="000000" w:fill="DDEBF7"/>
            <w:vAlign w:val="center"/>
            <w:hideMark/>
          </w:tcPr>
          <w:p w14:paraId="3D44366A"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1.0%</w:t>
            </w:r>
          </w:p>
        </w:tc>
        <w:tc>
          <w:tcPr>
            <w:tcW w:w="950" w:type="dxa"/>
            <w:tcBorders>
              <w:top w:val="single" w:sz="8" w:space="0" w:color="auto"/>
              <w:left w:val="nil"/>
              <w:bottom w:val="single" w:sz="4" w:space="0" w:color="auto"/>
              <w:right w:val="single" w:sz="8" w:space="0" w:color="auto"/>
            </w:tcBorders>
            <w:shd w:val="clear" w:color="000000" w:fill="DDEBF7"/>
            <w:vAlign w:val="center"/>
            <w:hideMark/>
          </w:tcPr>
          <w:p w14:paraId="7CE84776"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1.7%</w:t>
            </w:r>
          </w:p>
        </w:tc>
        <w:tc>
          <w:tcPr>
            <w:tcW w:w="950" w:type="dxa"/>
            <w:tcBorders>
              <w:top w:val="single" w:sz="8" w:space="0" w:color="auto"/>
              <w:left w:val="nil"/>
              <w:bottom w:val="single" w:sz="4" w:space="0" w:color="auto"/>
              <w:right w:val="single" w:sz="8" w:space="0" w:color="auto"/>
            </w:tcBorders>
            <w:shd w:val="clear" w:color="000000" w:fill="DDEBF7"/>
            <w:vAlign w:val="center"/>
            <w:hideMark/>
          </w:tcPr>
          <w:p w14:paraId="760A7A97"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1.3%</w:t>
            </w:r>
          </w:p>
        </w:tc>
        <w:tc>
          <w:tcPr>
            <w:tcW w:w="950" w:type="dxa"/>
            <w:tcBorders>
              <w:top w:val="single" w:sz="8" w:space="0" w:color="auto"/>
              <w:left w:val="nil"/>
              <w:bottom w:val="single" w:sz="4" w:space="0" w:color="auto"/>
              <w:right w:val="single" w:sz="8" w:space="0" w:color="auto"/>
            </w:tcBorders>
            <w:shd w:val="clear" w:color="000000" w:fill="DDEBF7"/>
            <w:vAlign w:val="center"/>
            <w:hideMark/>
          </w:tcPr>
          <w:p w14:paraId="0B0DF576"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1.1%</w:t>
            </w:r>
          </w:p>
        </w:tc>
      </w:tr>
      <w:tr w:rsidR="0028105E" w:rsidRPr="0028105E" w14:paraId="3D11F926" w14:textId="77777777" w:rsidTr="0028105E">
        <w:trPr>
          <w:trHeight w:val="324"/>
        </w:trPr>
        <w:tc>
          <w:tcPr>
            <w:tcW w:w="2840" w:type="dxa"/>
            <w:vMerge/>
            <w:tcBorders>
              <w:top w:val="single" w:sz="8" w:space="0" w:color="auto"/>
              <w:left w:val="single" w:sz="8" w:space="0" w:color="auto"/>
              <w:bottom w:val="single" w:sz="8" w:space="0" w:color="000000"/>
              <w:right w:val="single" w:sz="8" w:space="0" w:color="auto"/>
            </w:tcBorders>
            <w:vAlign w:val="center"/>
            <w:hideMark/>
          </w:tcPr>
          <w:p w14:paraId="3C3B9306" w14:textId="77777777" w:rsidR="0028105E" w:rsidRPr="0028105E" w:rsidRDefault="0028105E" w:rsidP="0028105E">
            <w:pPr>
              <w:spacing w:after="0"/>
              <w:rPr>
                <w:b/>
                <w:bCs/>
                <w:color w:val="000000"/>
                <w:sz w:val="22"/>
                <w:szCs w:val="24"/>
                <w:lang w:val="en-US"/>
              </w:rPr>
            </w:pPr>
          </w:p>
        </w:tc>
        <w:tc>
          <w:tcPr>
            <w:tcW w:w="3100" w:type="dxa"/>
            <w:tcBorders>
              <w:top w:val="nil"/>
              <w:left w:val="nil"/>
              <w:bottom w:val="single" w:sz="8" w:space="0" w:color="auto"/>
              <w:right w:val="nil"/>
            </w:tcBorders>
            <w:shd w:val="clear" w:color="000000" w:fill="DDEBF7"/>
            <w:noWrap/>
            <w:vAlign w:val="center"/>
            <w:hideMark/>
          </w:tcPr>
          <w:p w14:paraId="54842345" w14:textId="77777777"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5%-tile thput degradation</w:t>
            </w:r>
          </w:p>
        </w:tc>
        <w:tc>
          <w:tcPr>
            <w:tcW w:w="990" w:type="dxa"/>
            <w:tcBorders>
              <w:top w:val="nil"/>
              <w:left w:val="single" w:sz="8" w:space="0" w:color="auto"/>
              <w:bottom w:val="single" w:sz="8" w:space="0" w:color="auto"/>
              <w:right w:val="single" w:sz="8" w:space="0" w:color="auto"/>
            </w:tcBorders>
            <w:shd w:val="clear" w:color="000000" w:fill="DDEBF7"/>
            <w:vAlign w:val="center"/>
            <w:hideMark/>
          </w:tcPr>
          <w:p w14:paraId="6C4A02F4"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0.2%</w:t>
            </w:r>
          </w:p>
        </w:tc>
        <w:tc>
          <w:tcPr>
            <w:tcW w:w="950" w:type="dxa"/>
            <w:tcBorders>
              <w:top w:val="nil"/>
              <w:left w:val="nil"/>
              <w:bottom w:val="single" w:sz="8" w:space="0" w:color="auto"/>
              <w:right w:val="single" w:sz="8" w:space="0" w:color="auto"/>
            </w:tcBorders>
            <w:shd w:val="clear" w:color="000000" w:fill="DDEBF7"/>
            <w:vAlign w:val="center"/>
            <w:hideMark/>
          </w:tcPr>
          <w:p w14:paraId="6E603244"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0.3%</w:t>
            </w:r>
          </w:p>
        </w:tc>
        <w:tc>
          <w:tcPr>
            <w:tcW w:w="950" w:type="dxa"/>
            <w:tcBorders>
              <w:top w:val="nil"/>
              <w:left w:val="nil"/>
              <w:bottom w:val="single" w:sz="8" w:space="0" w:color="auto"/>
              <w:right w:val="single" w:sz="8" w:space="0" w:color="auto"/>
            </w:tcBorders>
            <w:shd w:val="clear" w:color="000000" w:fill="DDEBF7"/>
            <w:vAlign w:val="center"/>
            <w:hideMark/>
          </w:tcPr>
          <w:p w14:paraId="7B753CA2"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0.2%</w:t>
            </w:r>
          </w:p>
        </w:tc>
        <w:tc>
          <w:tcPr>
            <w:tcW w:w="950" w:type="dxa"/>
            <w:tcBorders>
              <w:top w:val="nil"/>
              <w:left w:val="nil"/>
              <w:bottom w:val="single" w:sz="8" w:space="0" w:color="auto"/>
              <w:right w:val="single" w:sz="8" w:space="0" w:color="auto"/>
            </w:tcBorders>
            <w:shd w:val="clear" w:color="000000" w:fill="DDEBF7"/>
            <w:vAlign w:val="center"/>
            <w:hideMark/>
          </w:tcPr>
          <w:p w14:paraId="5BA3FC46"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0.2%</w:t>
            </w:r>
          </w:p>
        </w:tc>
      </w:tr>
      <w:tr w:rsidR="0028105E" w:rsidRPr="0028105E" w14:paraId="358C31FB" w14:textId="77777777" w:rsidTr="0028105E">
        <w:trPr>
          <w:trHeight w:val="324"/>
        </w:trPr>
        <w:tc>
          <w:tcPr>
            <w:tcW w:w="284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758FF9F9" w14:textId="3A2D4E96"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 xml:space="preserve">UMa - ISD = 200m  </w:t>
            </w:r>
            <w:r w:rsidRPr="0028105E">
              <w:rPr>
                <w:b/>
                <w:bCs/>
                <w:color w:val="000000"/>
                <w:sz w:val="22"/>
                <w:szCs w:val="24"/>
                <w:lang w:val="en-US"/>
              </w:rPr>
              <w:br/>
              <w:t xml:space="preserve">Not Co-located </w:t>
            </w:r>
          </w:p>
        </w:tc>
        <w:tc>
          <w:tcPr>
            <w:tcW w:w="3100" w:type="dxa"/>
            <w:tcBorders>
              <w:top w:val="nil"/>
              <w:left w:val="nil"/>
              <w:bottom w:val="single" w:sz="4" w:space="0" w:color="auto"/>
              <w:right w:val="nil"/>
            </w:tcBorders>
            <w:shd w:val="clear" w:color="000000" w:fill="BDD7EE"/>
            <w:noWrap/>
            <w:vAlign w:val="center"/>
            <w:hideMark/>
          </w:tcPr>
          <w:p w14:paraId="2F75B720" w14:textId="77777777"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mean thput degradation</w:t>
            </w:r>
          </w:p>
        </w:tc>
        <w:tc>
          <w:tcPr>
            <w:tcW w:w="990" w:type="dxa"/>
            <w:tcBorders>
              <w:top w:val="nil"/>
              <w:left w:val="single" w:sz="8" w:space="0" w:color="auto"/>
              <w:bottom w:val="single" w:sz="4" w:space="0" w:color="auto"/>
              <w:right w:val="single" w:sz="8" w:space="0" w:color="auto"/>
            </w:tcBorders>
            <w:shd w:val="clear" w:color="000000" w:fill="BDD7EE"/>
            <w:vAlign w:val="center"/>
            <w:hideMark/>
          </w:tcPr>
          <w:p w14:paraId="51FF0F3B"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1.2%</w:t>
            </w:r>
          </w:p>
        </w:tc>
        <w:tc>
          <w:tcPr>
            <w:tcW w:w="950" w:type="dxa"/>
            <w:tcBorders>
              <w:top w:val="nil"/>
              <w:left w:val="nil"/>
              <w:bottom w:val="single" w:sz="4" w:space="0" w:color="auto"/>
              <w:right w:val="single" w:sz="8" w:space="0" w:color="auto"/>
            </w:tcBorders>
            <w:shd w:val="clear" w:color="000000" w:fill="BDD7EE"/>
            <w:vAlign w:val="center"/>
            <w:hideMark/>
          </w:tcPr>
          <w:p w14:paraId="40F824A6"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2.2%</w:t>
            </w:r>
          </w:p>
        </w:tc>
        <w:tc>
          <w:tcPr>
            <w:tcW w:w="950" w:type="dxa"/>
            <w:tcBorders>
              <w:top w:val="nil"/>
              <w:left w:val="nil"/>
              <w:bottom w:val="single" w:sz="4" w:space="0" w:color="auto"/>
              <w:right w:val="single" w:sz="8" w:space="0" w:color="auto"/>
            </w:tcBorders>
            <w:shd w:val="clear" w:color="000000" w:fill="BDD7EE"/>
            <w:vAlign w:val="center"/>
            <w:hideMark/>
          </w:tcPr>
          <w:p w14:paraId="0AA2C275"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1.7%</w:t>
            </w:r>
          </w:p>
        </w:tc>
        <w:tc>
          <w:tcPr>
            <w:tcW w:w="950" w:type="dxa"/>
            <w:tcBorders>
              <w:top w:val="nil"/>
              <w:left w:val="nil"/>
              <w:bottom w:val="single" w:sz="4" w:space="0" w:color="auto"/>
              <w:right w:val="single" w:sz="8" w:space="0" w:color="auto"/>
            </w:tcBorders>
            <w:shd w:val="clear" w:color="000000" w:fill="BDD7EE"/>
            <w:vAlign w:val="center"/>
            <w:hideMark/>
          </w:tcPr>
          <w:p w14:paraId="210AC74A"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1.4%</w:t>
            </w:r>
          </w:p>
        </w:tc>
      </w:tr>
      <w:tr w:rsidR="0028105E" w:rsidRPr="0028105E" w14:paraId="64695A94" w14:textId="77777777" w:rsidTr="0028105E">
        <w:trPr>
          <w:trHeight w:val="324"/>
        </w:trPr>
        <w:tc>
          <w:tcPr>
            <w:tcW w:w="2840" w:type="dxa"/>
            <w:vMerge/>
            <w:tcBorders>
              <w:top w:val="nil"/>
              <w:left w:val="single" w:sz="8" w:space="0" w:color="auto"/>
              <w:bottom w:val="single" w:sz="8" w:space="0" w:color="000000"/>
              <w:right w:val="single" w:sz="8" w:space="0" w:color="auto"/>
            </w:tcBorders>
            <w:vAlign w:val="center"/>
            <w:hideMark/>
          </w:tcPr>
          <w:p w14:paraId="5E664AB1" w14:textId="77777777" w:rsidR="0028105E" w:rsidRPr="0028105E" w:rsidRDefault="0028105E" w:rsidP="0028105E">
            <w:pPr>
              <w:spacing w:after="0"/>
              <w:rPr>
                <w:b/>
                <w:bCs/>
                <w:color w:val="000000"/>
                <w:sz w:val="22"/>
                <w:szCs w:val="24"/>
                <w:lang w:val="en-US"/>
              </w:rPr>
            </w:pPr>
          </w:p>
        </w:tc>
        <w:tc>
          <w:tcPr>
            <w:tcW w:w="3100" w:type="dxa"/>
            <w:tcBorders>
              <w:top w:val="nil"/>
              <w:left w:val="nil"/>
              <w:bottom w:val="single" w:sz="8" w:space="0" w:color="auto"/>
              <w:right w:val="nil"/>
            </w:tcBorders>
            <w:shd w:val="clear" w:color="000000" w:fill="BDD7EE"/>
            <w:noWrap/>
            <w:vAlign w:val="center"/>
            <w:hideMark/>
          </w:tcPr>
          <w:p w14:paraId="154C4058" w14:textId="77777777"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5%-tile thput degradation</w:t>
            </w:r>
          </w:p>
        </w:tc>
        <w:tc>
          <w:tcPr>
            <w:tcW w:w="990" w:type="dxa"/>
            <w:tcBorders>
              <w:top w:val="nil"/>
              <w:left w:val="single" w:sz="8" w:space="0" w:color="auto"/>
              <w:bottom w:val="single" w:sz="8" w:space="0" w:color="auto"/>
              <w:right w:val="single" w:sz="8" w:space="0" w:color="auto"/>
            </w:tcBorders>
            <w:shd w:val="clear" w:color="000000" w:fill="BDD7EE"/>
            <w:vAlign w:val="center"/>
            <w:hideMark/>
          </w:tcPr>
          <w:p w14:paraId="294D33DB"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0.2%</w:t>
            </w:r>
          </w:p>
        </w:tc>
        <w:tc>
          <w:tcPr>
            <w:tcW w:w="950" w:type="dxa"/>
            <w:tcBorders>
              <w:top w:val="nil"/>
              <w:left w:val="nil"/>
              <w:bottom w:val="single" w:sz="8" w:space="0" w:color="auto"/>
              <w:right w:val="single" w:sz="8" w:space="0" w:color="auto"/>
            </w:tcBorders>
            <w:shd w:val="clear" w:color="000000" w:fill="BDD7EE"/>
            <w:vAlign w:val="center"/>
            <w:hideMark/>
          </w:tcPr>
          <w:p w14:paraId="11CB21C4"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0.3%</w:t>
            </w:r>
          </w:p>
        </w:tc>
        <w:tc>
          <w:tcPr>
            <w:tcW w:w="950" w:type="dxa"/>
            <w:tcBorders>
              <w:top w:val="nil"/>
              <w:left w:val="nil"/>
              <w:bottom w:val="single" w:sz="8" w:space="0" w:color="auto"/>
              <w:right w:val="single" w:sz="8" w:space="0" w:color="auto"/>
            </w:tcBorders>
            <w:shd w:val="clear" w:color="000000" w:fill="BDD7EE"/>
            <w:vAlign w:val="center"/>
            <w:hideMark/>
          </w:tcPr>
          <w:p w14:paraId="38DB2170"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0.2%</w:t>
            </w:r>
          </w:p>
        </w:tc>
        <w:tc>
          <w:tcPr>
            <w:tcW w:w="950" w:type="dxa"/>
            <w:tcBorders>
              <w:top w:val="nil"/>
              <w:left w:val="nil"/>
              <w:bottom w:val="single" w:sz="8" w:space="0" w:color="auto"/>
              <w:right w:val="single" w:sz="8" w:space="0" w:color="auto"/>
            </w:tcBorders>
            <w:shd w:val="clear" w:color="000000" w:fill="BDD7EE"/>
            <w:vAlign w:val="center"/>
            <w:hideMark/>
          </w:tcPr>
          <w:p w14:paraId="499E993B"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0.2%</w:t>
            </w:r>
          </w:p>
        </w:tc>
      </w:tr>
      <w:tr w:rsidR="0028105E" w:rsidRPr="0028105E" w14:paraId="652CA940" w14:textId="77777777" w:rsidTr="0028105E">
        <w:trPr>
          <w:trHeight w:val="324"/>
        </w:trPr>
        <w:tc>
          <w:tcPr>
            <w:tcW w:w="2840" w:type="dxa"/>
            <w:vMerge w:val="restart"/>
            <w:tcBorders>
              <w:top w:val="nil"/>
              <w:left w:val="single" w:sz="8" w:space="0" w:color="auto"/>
              <w:bottom w:val="single" w:sz="8" w:space="0" w:color="000000"/>
              <w:right w:val="single" w:sz="8" w:space="0" w:color="auto"/>
            </w:tcBorders>
            <w:shd w:val="clear" w:color="000000" w:fill="E2EFDA"/>
            <w:vAlign w:val="center"/>
            <w:hideMark/>
          </w:tcPr>
          <w:p w14:paraId="38C4BA0E" w14:textId="4A1EB55E"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 xml:space="preserve">UMa - ISD = 300m  </w:t>
            </w:r>
            <w:r w:rsidRPr="0028105E">
              <w:rPr>
                <w:b/>
                <w:bCs/>
                <w:color w:val="000000"/>
                <w:sz w:val="22"/>
                <w:szCs w:val="24"/>
                <w:lang w:val="en-US"/>
              </w:rPr>
              <w:br/>
              <w:t xml:space="preserve">Co-located </w:t>
            </w:r>
          </w:p>
        </w:tc>
        <w:tc>
          <w:tcPr>
            <w:tcW w:w="3100" w:type="dxa"/>
            <w:tcBorders>
              <w:top w:val="nil"/>
              <w:left w:val="nil"/>
              <w:bottom w:val="single" w:sz="4" w:space="0" w:color="auto"/>
              <w:right w:val="nil"/>
            </w:tcBorders>
            <w:shd w:val="clear" w:color="000000" w:fill="E2EFDA"/>
            <w:noWrap/>
            <w:vAlign w:val="center"/>
            <w:hideMark/>
          </w:tcPr>
          <w:p w14:paraId="6E228034" w14:textId="77777777"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mean thput degradation</w:t>
            </w:r>
          </w:p>
        </w:tc>
        <w:tc>
          <w:tcPr>
            <w:tcW w:w="990" w:type="dxa"/>
            <w:tcBorders>
              <w:top w:val="nil"/>
              <w:left w:val="single" w:sz="8" w:space="0" w:color="auto"/>
              <w:bottom w:val="single" w:sz="4" w:space="0" w:color="auto"/>
              <w:right w:val="single" w:sz="8" w:space="0" w:color="auto"/>
            </w:tcBorders>
            <w:shd w:val="clear" w:color="000000" w:fill="E2EFDA"/>
            <w:vAlign w:val="center"/>
            <w:hideMark/>
          </w:tcPr>
          <w:p w14:paraId="3C9D31EB"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1.0%</w:t>
            </w:r>
          </w:p>
        </w:tc>
        <w:tc>
          <w:tcPr>
            <w:tcW w:w="950" w:type="dxa"/>
            <w:tcBorders>
              <w:top w:val="nil"/>
              <w:left w:val="nil"/>
              <w:bottom w:val="single" w:sz="4" w:space="0" w:color="auto"/>
              <w:right w:val="single" w:sz="8" w:space="0" w:color="auto"/>
            </w:tcBorders>
            <w:shd w:val="clear" w:color="000000" w:fill="E2EFDA"/>
            <w:vAlign w:val="center"/>
            <w:hideMark/>
          </w:tcPr>
          <w:p w14:paraId="7590D4EB"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1.6%</w:t>
            </w:r>
          </w:p>
        </w:tc>
        <w:tc>
          <w:tcPr>
            <w:tcW w:w="950" w:type="dxa"/>
            <w:tcBorders>
              <w:top w:val="nil"/>
              <w:left w:val="nil"/>
              <w:bottom w:val="single" w:sz="4" w:space="0" w:color="auto"/>
              <w:right w:val="single" w:sz="8" w:space="0" w:color="auto"/>
            </w:tcBorders>
            <w:shd w:val="clear" w:color="000000" w:fill="E2EFDA"/>
            <w:vAlign w:val="center"/>
            <w:hideMark/>
          </w:tcPr>
          <w:p w14:paraId="50451F53"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1.4%</w:t>
            </w:r>
          </w:p>
        </w:tc>
        <w:tc>
          <w:tcPr>
            <w:tcW w:w="950" w:type="dxa"/>
            <w:tcBorders>
              <w:top w:val="nil"/>
              <w:left w:val="nil"/>
              <w:bottom w:val="single" w:sz="4" w:space="0" w:color="auto"/>
              <w:right w:val="single" w:sz="8" w:space="0" w:color="auto"/>
            </w:tcBorders>
            <w:shd w:val="clear" w:color="000000" w:fill="E2EFDA"/>
            <w:vAlign w:val="center"/>
            <w:hideMark/>
          </w:tcPr>
          <w:p w14:paraId="06CF98FC"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1.2%</w:t>
            </w:r>
          </w:p>
        </w:tc>
      </w:tr>
      <w:tr w:rsidR="0028105E" w:rsidRPr="0028105E" w14:paraId="55E65FD1" w14:textId="77777777" w:rsidTr="0028105E">
        <w:trPr>
          <w:trHeight w:val="324"/>
        </w:trPr>
        <w:tc>
          <w:tcPr>
            <w:tcW w:w="2840" w:type="dxa"/>
            <w:vMerge/>
            <w:tcBorders>
              <w:top w:val="nil"/>
              <w:left w:val="single" w:sz="8" w:space="0" w:color="auto"/>
              <w:bottom w:val="single" w:sz="8" w:space="0" w:color="000000"/>
              <w:right w:val="single" w:sz="8" w:space="0" w:color="auto"/>
            </w:tcBorders>
            <w:vAlign w:val="center"/>
            <w:hideMark/>
          </w:tcPr>
          <w:p w14:paraId="7D65F4CE" w14:textId="77777777" w:rsidR="0028105E" w:rsidRPr="0028105E" w:rsidRDefault="0028105E" w:rsidP="0028105E">
            <w:pPr>
              <w:spacing w:after="0"/>
              <w:rPr>
                <w:b/>
                <w:bCs/>
                <w:color w:val="000000"/>
                <w:sz w:val="22"/>
                <w:szCs w:val="24"/>
                <w:lang w:val="en-US"/>
              </w:rPr>
            </w:pPr>
          </w:p>
        </w:tc>
        <w:tc>
          <w:tcPr>
            <w:tcW w:w="3100" w:type="dxa"/>
            <w:tcBorders>
              <w:top w:val="nil"/>
              <w:left w:val="nil"/>
              <w:bottom w:val="single" w:sz="8" w:space="0" w:color="auto"/>
              <w:right w:val="nil"/>
            </w:tcBorders>
            <w:shd w:val="clear" w:color="000000" w:fill="E2EFDA"/>
            <w:noWrap/>
            <w:vAlign w:val="center"/>
            <w:hideMark/>
          </w:tcPr>
          <w:p w14:paraId="4B6D8D01" w14:textId="77777777"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5%-tile thput degradation</w:t>
            </w:r>
          </w:p>
        </w:tc>
        <w:tc>
          <w:tcPr>
            <w:tcW w:w="990" w:type="dxa"/>
            <w:tcBorders>
              <w:top w:val="nil"/>
              <w:left w:val="single" w:sz="8" w:space="0" w:color="auto"/>
              <w:bottom w:val="single" w:sz="8" w:space="0" w:color="auto"/>
              <w:right w:val="single" w:sz="8" w:space="0" w:color="auto"/>
            </w:tcBorders>
            <w:shd w:val="clear" w:color="000000" w:fill="E2EFDA"/>
            <w:vAlign w:val="center"/>
            <w:hideMark/>
          </w:tcPr>
          <w:p w14:paraId="44C7371B"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2.9%</w:t>
            </w:r>
          </w:p>
        </w:tc>
        <w:tc>
          <w:tcPr>
            <w:tcW w:w="950" w:type="dxa"/>
            <w:tcBorders>
              <w:top w:val="nil"/>
              <w:left w:val="nil"/>
              <w:bottom w:val="single" w:sz="8" w:space="0" w:color="auto"/>
              <w:right w:val="single" w:sz="8" w:space="0" w:color="auto"/>
            </w:tcBorders>
            <w:shd w:val="clear" w:color="000000" w:fill="E2EFDA"/>
            <w:vAlign w:val="center"/>
            <w:hideMark/>
          </w:tcPr>
          <w:p w14:paraId="2999D52F"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5.4%</w:t>
            </w:r>
          </w:p>
        </w:tc>
        <w:tc>
          <w:tcPr>
            <w:tcW w:w="950" w:type="dxa"/>
            <w:tcBorders>
              <w:top w:val="nil"/>
              <w:left w:val="nil"/>
              <w:bottom w:val="single" w:sz="8" w:space="0" w:color="auto"/>
              <w:right w:val="single" w:sz="8" w:space="0" w:color="auto"/>
            </w:tcBorders>
            <w:shd w:val="clear" w:color="000000" w:fill="E2EFDA"/>
            <w:vAlign w:val="center"/>
            <w:hideMark/>
          </w:tcPr>
          <w:p w14:paraId="0D9445C4"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4.3%</w:t>
            </w:r>
          </w:p>
        </w:tc>
        <w:tc>
          <w:tcPr>
            <w:tcW w:w="950" w:type="dxa"/>
            <w:tcBorders>
              <w:top w:val="nil"/>
              <w:left w:val="nil"/>
              <w:bottom w:val="single" w:sz="8" w:space="0" w:color="auto"/>
              <w:right w:val="single" w:sz="8" w:space="0" w:color="auto"/>
            </w:tcBorders>
            <w:shd w:val="clear" w:color="000000" w:fill="E2EFDA"/>
            <w:vAlign w:val="center"/>
            <w:hideMark/>
          </w:tcPr>
          <w:p w14:paraId="0C4533F1"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3.4%</w:t>
            </w:r>
          </w:p>
        </w:tc>
      </w:tr>
      <w:tr w:rsidR="0028105E" w:rsidRPr="0028105E" w14:paraId="13AE4D70" w14:textId="77777777" w:rsidTr="0028105E">
        <w:trPr>
          <w:trHeight w:val="324"/>
        </w:trPr>
        <w:tc>
          <w:tcPr>
            <w:tcW w:w="2840" w:type="dxa"/>
            <w:vMerge w:val="restart"/>
            <w:tcBorders>
              <w:top w:val="nil"/>
              <w:left w:val="single" w:sz="8" w:space="0" w:color="auto"/>
              <w:bottom w:val="single" w:sz="8" w:space="0" w:color="000000"/>
              <w:right w:val="single" w:sz="8" w:space="0" w:color="auto"/>
            </w:tcBorders>
            <w:shd w:val="clear" w:color="000000" w:fill="C6E0B4"/>
            <w:vAlign w:val="center"/>
            <w:hideMark/>
          </w:tcPr>
          <w:p w14:paraId="01F6C8C5" w14:textId="1A4F55A3"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 xml:space="preserve">UMa - ISD = 300m  </w:t>
            </w:r>
            <w:r w:rsidRPr="0028105E">
              <w:rPr>
                <w:b/>
                <w:bCs/>
                <w:color w:val="000000"/>
                <w:sz w:val="22"/>
                <w:szCs w:val="24"/>
                <w:lang w:val="en-US"/>
              </w:rPr>
              <w:br/>
              <w:t xml:space="preserve">Not Co-located </w:t>
            </w:r>
          </w:p>
        </w:tc>
        <w:tc>
          <w:tcPr>
            <w:tcW w:w="3100" w:type="dxa"/>
            <w:tcBorders>
              <w:top w:val="nil"/>
              <w:left w:val="nil"/>
              <w:bottom w:val="single" w:sz="4" w:space="0" w:color="auto"/>
              <w:right w:val="nil"/>
            </w:tcBorders>
            <w:shd w:val="clear" w:color="000000" w:fill="C6E0B4"/>
            <w:noWrap/>
            <w:vAlign w:val="center"/>
            <w:hideMark/>
          </w:tcPr>
          <w:p w14:paraId="7380D9FF" w14:textId="77777777"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mean thput degradation</w:t>
            </w:r>
          </w:p>
        </w:tc>
        <w:tc>
          <w:tcPr>
            <w:tcW w:w="990" w:type="dxa"/>
            <w:tcBorders>
              <w:top w:val="nil"/>
              <w:left w:val="single" w:sz="8" w:space="0" w:color="auto"/>
              <w:bottom w:val="single" w:sz="4" w:space="0" w:color="auto"/>
              <w:right w:val="single" w:sz="8" w:space="0" w:color="auto"/>
            </w:tcBorders>
            <w:shd w:val="clear" w:color="000000" w:fill="C6E0B4"/>
            <w:vAlign w:val="center"/>
            <w:hideMark/>
          </w:tcPr>
          <w:p w14:paraId="313800D4"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1.5%</w:t>
            </w:r>
          </w:p>
        </w:tc>
        <w:tc>
          <w:tcPr>
            <w:tcW w:w="950" w:type="dxa"/>
            <w:tcBorders>
              <w:top w:val="nil"/>
              <w:left w:val="nil"/>
              <w:bottom w:val="single" w:sz="4" w:space="0" w:color="auto"/>
              <w:right w:val="single" w:sz="8" w:space="0" w:color="auto"/>
            </w:tcBorders>
            <w:shd w:val="clear" w:color="000000" w:fill="C6E0B4"/>
            <w:vAlign w:val="center"/>
            <w:hideMark/>
          </w:tcPr>
          <w:p w14:paraId="4C8492DE"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2.4%</w:t>
            </w:r>
          </w:p>
        </w:tc>
        <w:tc>
          <w:tcPr>
            <w:tcW w:w="950" w:type="dxa"/>
            <w:tcBorders>
              <w:top w:val="nil"/>
              <w:left w:val="nil"/>
              <w:bottom w:val="single" w:sz="4" w:space="0" w:color="auto"/>
              <w:right w:val="single" w:sz="8" w:space="0" w:color="auto"/>
            </w:tcBorders>
            <w:shd w:val="clear" w:color="000000" w:fill="C6E0B4"/>
            <w:vAlign w:val="center"/>
            <w:hideMark/>
          </w:tcPr>
          <w:p w14:paraId="15031DED"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2.1%</w:t>
            </w:r>
          </w:p>
        </w:tc>
        <w:tc>
          <w:tcPr>
            <w:tcW w:w="950" w:type="dxa"/>
            <w:tcBorders>
              <w:top w:val="nil"/>
              <w:left w:val="nil"/>
              <w:bottom w:val="single" w:sz="4" w:space="0" w:color="auto"/>
              <w:right w:val="single" w:sz="8" w:space="0" w:color="auto"/>
            </w:tcBorders>
            <w:shd w:val="clear" w:color="000000" w:fill="C6E0B4"/>
            <w:vAlign w:val="center"/>
            <w:hideMark/>
          </w:tcPr>
          <w:p w14:paraId="339FC751"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1.8%</w:t>
            </w:r>
          </w:p>
        </w:tc>
      </w:tr>
      <w:tr w:rsidR="0028105E" w:rsidRPr="0028105E" w14:paraId="040F02F6" w14:textId="77777777" w:rsidTr="0028105E">
        <w:trPr>
          <w:trHeight w:val="324"/>
        </w:trPr>
        <w:tc>
          <w:tcPr>
            <w:tcW w:w="2840" w:type="dxa"/>
            <w:vMerge/>
            <w:tcBorders>
              <w:top w:val="nil"/>
              <w:left w:val="single" w:sz="8" w:space="0" w:color="auto"/>
              <w:bottom w:val="single" w:sz="8" w:space="0" w:color="000000"/>
              <w:right w:val="single" w:sz="8" w:space="0" w:color="auto"/>
            </w:tcBorders>
            <w:vAlign w:val="center"/>
            <w:hideMark/>
          </w:tcPr>
          <w:p w14:paraId="20DD8174" w14:textId="77777777" w:rsidR="0028105E" w:rsidRPr="0028105E" w:rsidRDefault="0028105E" w:rsidP="0028105E">
            <w:pPr>
              <w:spacing w:after="0"/>
              <w:rPr>
                <w:b/>
                <w:bCs/>
                <w:color w:val="000000"/>
                <w:sz w:val="22"/>
                <w:szCs w:val="24"/>
                <w:lang w:val="en-US"/>
              </w:rPr>
            </w:pPr>
          </w:p>
        </w:tc>
        <w:tc>
          <w:tcPr>
            <w:tcW w:w="3100" w:type="dxa"/>
            <w:tcBorders>
              <w:top w:val="nil"/>
              <w:left w:val="nil"/>
              <w:bottom w:val="single" w:sz="8" w:space="0" w:color="auto"/>
              <w:right w:val="nil"/>
            </w:tcBorders>
            <w:shd w:val="clear" w:color="000000" w:fill="C6E0B4"/>
            <w:noWrap/>
            <w:vAlign w:val="center"/>
            <w:hideMark/>
          </w:tcPr>
          <w:p w14:paraId="6CBC08B8" w14:textId="77777777" w:rsidR="0028105E" w:rsidRPr="0028105E" w:rsidRDefault="0028105E" w:rsidP="0028105E">
            <w:pPr>
              <w:spacing w:after="0"/>
              <w:jc w:val="center"/>
              <w:rPr>
                <w:b/>
                <w:bCs/>
                <w:color w:val="000000"/>
                <w:sz w:val="22"/>
                <w:szCs w:val="24"/>
                <w:lang w:val="en-US"/>
              </w:rPr>
            </w:pPr>
            <w:r w:rsidRPr="0028105E">
              <w:rPr>
                <w:b/>
                <w:bCs/>
                <w:color w:val="000000"/>
                <w:sz w:val="22"/>
                <w:szCs w:val="24"/>
                <w:lang w:val="en-US"/>
              </w:rPr>
              <w:t>5%-tile thput degradation</w:t>
            </w:r>
          </w:p>
        </w:tc>
        <w:tc>
          <w:tcPr>
            <w:tcW w:w="990" w:type="dxa"/>
            <w:tcBorders>
              <w:top w:val="nil"/>
              <w:left w:val="single" w:sz="8" w:space="0" w:color="auto"/>
              <w:bottom w:val="single" w:sz="8" w:space="0" w:color="auto"/>
              <w:right w:val="single" w:sz="8" w:space="0" w:color="auto"/>
            </w:tcBorders>
            <w:shd w:val="clear" w:color="000000" w:fill="C6E0B4"/>
            <w:vAlign w:val="center"/>
            <w:hideMark/>
          </w:tcPr>
          <w:p w14:paraId="04A762EC"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4.9%</w:t>
            </w:r>
          </w:p>
        </w:tc>
        <w:tc>
          <w:tcPr>
            <w:tcW w:w="950" w:type="dxa"/>
            <w:tcBorders>
              <w:top w:val="nil"/>
              <w:left w:val="nil"/>
              <w:bottom w:val="single" w:sz="8" w:space="0" w:color="auto"/>
              <w:right w:val="single" w:sz="8" w:space="0" w:color="auto"/>
            </w:tcBorders>
            <w:shd w:val="clear" w:color="000000" w:fill="C6E0B4"/>
            <w:vAlign w:val="center"/>
            <w:hideMark/>
          </w:tcPr>
          <w:p w14:paraId="248AB6C0"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8.0%</w:t>
            </w:r>
          </w:p>
        </w:tc>
        <w:tc>
          <w:tcPr>
            <w:tcW w:w="950" w:type="dxa"/>
            <w:tcBorders>
              <w:top w:val="nil"/>
              <w:left w:val="nil"/>
              <w:bottom w:val="single" w:sz="8" w:space="0" w:color="auto"/>
              <w:right w:val="single" w:sz="8" w:space="0" w:color="auto"/>
            </w:tcBorders>
            <w:shd w:val="clear" w:color="000000" w:fill="C6E0B4"/>
            <w:vAlign w:val="center"/>
            <w:hideMark/>
          </w:tcPr>
          <w:p w14:paraId="7891B45F"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6.4%</w:t>
            </w:r>
          </w:p>
        </w:tc>
        <w:tc>
          <w:tcPr>
            <w:tcW w:w="950" w:type="dxa"/>
            <w:tcBorders>
              <w:top w:val="nil"/>
              <w:left w:val="nil"/>
              <w:bottom w:val="single" w:sz="8" w:space="0" w:color="auto"/>
              <w:right w:val="single" w:sz="8" w:space="0" w:color="auto"/>
            </w:tcBorders>
            <w:shd w:val="clear" w:color="000000" w:fill="C6E0B4"/>
            <w:vAlign w:val="center"/>
            <w:hideMark/>
          </w:tcPr>
          <w:p w14:paraId="08C18B70" w14:textId="77777777" w:rsidR="0028105E" w:rsidRPr="0028105E" w:rsidRDefault="0028105E" w:rsidP="0028105E">
            <w:pPr>
              <w:spacing w:after="0"/>
              <w:jc w:val="center"/>
              <w:rPr>
                <w:color w:val="000000"/>
                <w:sz w:val="22"/>
                <w:szCs w:val="24"/>
                <w:lang w:val="en-US"/>
              </w:rPr>
            </w:pPr>
            <w:r w:rsidRPr="0028105E">
              <w:rPr>
                <w:color w:val="000000"/>
                <w:sz w:val="22"/>
                <w:szCs w:val="24"/>
                <w:lang w:val="en-US"/>
              </w:rPr>
              <w:t>5.1%</w:t>
            </w:r>
          </w:p>
        </w:tc>
      </w:tr>
    </w:tbl>
    <w:p w14:paraId="33AAC319" w14:textId="77777777" w:rsidR="00685CE2" w:rsidRPr="004012DB" w:rsidRDefault="00685CE2" w:rsidP="00685CE2">
      <w:pPr>
        <w:jc w:val="both"/>
      </w:pPr>
    </w:p>
    <w:p w14:paraId="7371ED57" w14:textId="7B3BEA11" w:rsidR="0028105E" w:rsidRDefault="0028105E" w:rsidP="002C1E15">
      <w:pPr>
        <w:jc w:val="both"/>
        <w:rPr>
          <w:lang w:val="en-US"/>
        </w:rPr>
      </w:pPr>
      <w:r>
        <w:rPr>
          <w:lang w:val="en-US"/>
        </w:rPr>
        <w:fldChar w:fldCharType="begin"/>
      </w:r>
      <w:r>
        <w:rPr>
          <w:lang w:val="en-US"/>
        </w:rPr>
        <w:instrText xml:space="preserve"> REF _Ref489972118 \h </w:instrText>
      </w:r>
      <w:r>
        <w:rPr>
          <w:lang w:val="en-US"/>
        </w:rPr>
      </w:r>
      <w:r>
        <w:rPr>
          <w:lang w:val="en-US"/>
        </w:rPr>
        <w:fldChar w:fldCharType="separate"/>
      </w:r>
      <w:r w:rsidR="00BA03AC">
        <w:t xml:space="preserve">Table </w:t>
      </w:r>
      <w:r w:rsidR="00BA03AC">
        <w:rPr>
          <w:noProof/>
        </w:rPr>
        <w:t>1</w:t>
      </w:r>
      <w:r>
        <w:rPr>
          <w:lang w:val="en-US"/>
        </w:rPr>
        <w:fldChar w:fldCharType="end"/>
      </w:r>
      <w:r w:rsidR="00216102">
        <w:rPr>
          <w:lang w:val="en-US"/>
        </w:rPr>
        <w:t xml:space="preserve"> summarizes the Montecarlo simulation results obtained in the three operators scenario. The results are expressed in terms of mean and 5%-tile throughput degradation relative to a single operator scenario (i.e. no adjacent channel interference). Several values of IBB have been simulated. The case of IBB = ∞ corresponds to the scenarios simulated during the study item phase, i.e. 2 adjacent operators, while the cases with finite IBB allows us to understand the relative impact of the third operator. Based on the simulation results, our previous proposal to have IBB=ACS=23dB would allow to keep the mean throughput degradation wit</w:t>
      </w:r>
      <w:r w:rsidR="00561D36">
        <w:rPr>
          <w:lang w:val="en-US"/>
        </w:rPr>
        <w:t>hin reasonable limits, but will cause some degradation to the tail throughput. On the other hand, IBB=30dB will allow to have marginal degradation to both mean and 5%-tile throughput compared to the 2 operator</w:t>
      </w:r>
      <w:r w:rsidR="002D3403">
        <w:rPr>
          <w:lang w:val="en-US"/>
        </w:rPr>
        <w:t>s</w:t>
      </w:r>
      <w:r w:rsidR="00561D36">
        <w:rPr>
          <w:lang w:val="en-US"/>
        </w:rPr>
        <w:t xml:space="preserve"> case, even for the worst case scenario. </w:t>
      </w:r>
      <w:r w:rsidR="00216102">
        <w:rPr>
          <w:lang w:val="en-US"/>
        </w:rPr>
        <w:t xml:space="preserve">  </w:t>
      </w:r>
    </w:p>
    <w:p w14:paraId="36FBA203" w14:textId="03E51B74" w:rsidR="002D3403" w:rsidRPr="0028105E" w:rsidRDefault="002D3403" w:rsidP="002C1E15">
      <w:pPr>
        <w:jc w:val="both"/>
        <w:rPr>
          <w:lang w:val="en-US"/>
        </w:rPr>
      </w:pPr>
      <w:r>
        <w:rPr>
          <w:lang w:val="en-US"/>
        </w:rPr>
        <w:t xml:space="preserve">Based on the above observation, and considering the fact that we analyzed the worst case Down Link scenario, we make the following proposal for UE IBB: </w:t>
      </w:r>
    </w:p>
    <w:p w14:paraId="7454B869" w14:textId="35DBC6E8" w:rsidR="002D3403" w:rsidRDefault="002C1E15" w:rsidP="00065A12">
      <w:pPr>
        <w:jc w:val="both"/>
        <w:rPr>
          <w:b/>
          <w:i/>
          <w:lang w:val="en-US"/>
        </w:rPr>
      </w:pPr>
      <w:r w:rsidRPr="00065A12">
        <w:rPr>
          <w:b/>
          <w:i/>
          <w:lang w:val="en-US"/>
        </w:rPr>
        <w:lastRenderedPageBreak/>
        <w:t xml:space="preserve">Proposal </w:t>
      </w:r>
      <w:r w:rsidR="000E67CC">
        <w:rPr>
          <w:b/>
          <w:i/>
          <w:lang w:val="en-US"/>
        </w:rPr>
        <w:t>3</w:t>
      </w:r>
      <w:r>
        <w:rPr>
          <w:b/>
          <w:i/>
          <w:lang w:val="en-US"/>
        </w:rPr>
        <w:t xml:space="preserve">: </w:t>
      </w:r>
      <w:r w:rsidR="000E67CC">
        <w:rPr>
          <w:b/>
          <w:i/>
          <w:lang w:val="en-US"/>
        </w:rPr>
        <w:t xml:space="preserve">UE </w:t>
      </w:r>
      <w:r w:rsidR="002D3403" w:rsidRPr="002D3403">
        <w:rPr>
          <w:b/>
          <w:i/>
          <w:lang w:val="en-US"/>
        </w:rPr>
        <w:t xml:space="preserve">IBB </w:t>
      </w:r>
      <w:r w:rsidR="000E67CC">
        <w:rPr>
          <w:b/>
          <w:i/>
          <w:lang w:val="en-US"/>
        </w:rPr>
        <w:t>requirement should be</w:t>
      </w:r>
      <w:r w:rsidR="002D3403" w:rsidRPr="002D3403">
        <w:rPr>
          <w:b/>
          <w:i/>
          <w:lang w:val="en-US"/>
        </w:rPr>
        <w:t xml:space="preserve"> </w:t>
      </w:r>
      <w:r w:rsidR="000E67CC">
        <w:rPr>
          <w:b/>
          <w:i/>
          <w:lang w:val="en-US"/>
        </w:rPr>
        <w:t>30</w:t>
      </w:r>
      <w:r w:rsidR="002D3403" w:rsidRPr="002D3403">
        <w:rPr>
          <w:b/>
          <w:i/>
          <w:lang w:val="en-US"/>
        </w:rPr>
        <w:t xml:space="preserve">dB for </w:t>
      </w:r>
      <w:r w:rsidR="000E67CC">
        <w:rPr>
          <w:b/>
          <w:i/>
          <w:lang w:val="en-US"/>
        </w:rPr>
        <w:t>the 30GHz frequency range and 29</w:t>
      </w:r>
      <w:r w:rsidR="002D3403" w:rsidRPr="002D3403">
        <w:rPr>
          <w:b/>
          <w:i/>
          <w:lang w:val="en-US"/>
        </w:rPr>
        <w:t>dB for the 45GHz frequency range.</w:t>
      </w:r>
    </w:p>
    <w:p w14:paraId="4B6A7A70" w14:textId="3F1A1216" w:rsidR="009017D9" w:rsidRDefault="009017D9" w:rsidP="00065A12">
      <w:pPr>
        <w:jc w:val="both"/>
        <w:rPr>
          <w:b/>
          <w:i/>
          <w:lang w:val="en-US"/>
        </w:rPr>
      </w:pPr>
    </w:p>
    <w:p w14:paraId="2A3E357E" w14:textId="3DE13342" w:rsidR="009017D9" w:rsidRDefault="009017D9" w:rsidP="009017D9">
      <w:pPr>
        <w:pStyle w:val="Heading2"/>
        <w:rPr>
          <w:lang w:val="en-US"/>
        </w:rPr>
      </w:pPr>
      <w:r>
        <w:rPr>
          <w:lang w:val="en-US"/>
        </w:rPr>
        <w:t>Draft specification proposal</w:t>
      </w:r>
    </w:p>
    <w:p w14:paraId="66349A06" w14:textId="29409810" w:rsidR="009017D9" w:rsidRPr="00F30DEB" w:rsidRDefault="00F30DEB" w:rsidP="00065A12">
      <w:pPr>
        <w:jc w:val="both"/>
        <w:rPr>
          <w:lang w:val="en-US"/>
        </w:rPr>
      </w:pPr>
      <w:r>
        <w:rPr>
          <w:lang w:val="en-US"/>
        </w:rPr>
        <w:t>In</w:t>
      </w:r>
      <w:r w:rsidR="0034031F">
        <w:rPr>
          <w:lang w:val="en-US"/>
        </w:rPr>
        <w:t xml:space="preserve"> </w:t>
      </w:r>
      <w:r w:rsidR="0034031F">
        <w:rPr>
          <w:lang w:val="en-US"/>
        </w:rPr>
        <w:fldChar w:fldCharType="begin"/>
      </w:r>
      <w:r w:rsidR="0034031F">
        <w:rPr>
          <w:lang w:val="en-US"/>
        </w:rPr>
        <w:instrText xml:space="preserve"> REF _Ref489975675 \h </w:instrText>
      </w:r>
      <w:r w:rsidR="0034031F">
        <w:rPr>
          <w:lang w:val="en-US"/>
        </w:rPr>
      </w:r>
      <w:r w:rsidR="0034031F">
        <w:rPr>
          <w:lang w:val="en-US"/>
        </w:rPr>
        <w:fldChar w:fldCharType="separate"/>
      </w:r>
      <w:r w:rsidR="0034031F">
        <w:t xml:space="preserve">Table </w:t>
      </w:r>
      <w:r w:rsidR="0034031F">
        <w:rPr>
          <w:noProof/>
        </w:rPr>
        <w:t>2</w:t>
      </w:r>
      <w:r w:rsidR="0034031F">
        <w:rPr>
          <w:lang w:val="en-US"/>
        </w:rPr>
        <w:fldChar w:fldCharType="end"/>
      </w:r>
      <w:r>
        <w:rPr>
          <w:lang w:val="en-US"/>
        </w:rPr>
        <w:t xml:space="preserve">, we make a proposal for the In-band blocking parameter which is consistent with our Proposal 1, 2, and 3. The draft spec is also sketched based on the ACS tables agreed in </w:t>
      </w:r>
      <w:r>
        <w:rPr>
          <w:lang w:val="en-US"/>
        </w:rPr>
        <w:fldChar w:fldCharType="begin"/>
      </w:r>
      <w:r>
        <w:rPr>
          <w:lang w:val="en-US"/>
        </w:rPr>
        <w:instrText xml:space="preserve"> REF _Ref489521996 \r \h </w:instrText>
      </w:r>
      <w:r>
        <w:rPr>
          <w:lang w:val="en-US"/>
        </w:rPr>
      </w:r>
      <w:r>
        <w:rPr>
          <w:lang w:val="en-US"/>
        </w:rPr>
        <w:fldChar w:fldCharType="separate"/>
      </w:r>
      <w:r w:rsidR="00BA03AC">
        <w:rPr>
          <w:lang w:val="en-US"/>
        </w:rPr>
        <w:t>[2]</w:t>
      </w:r>
      <w:r>
        <w:rPr>
          <w:lang w:val="en-US"/>
        </w:rPr>
        <w:fldChar w:fldCharType="end"/>
      </w:r>
      <w:r>
        <w:rPr>
          <w:lang w:val="en-US"/>
        </w:rPr>
        <w:t xml:space="preserve">. In other words, the interferer signal level is obtained considering a decodable SNR of -1dB and an implementation margin (IM) of 2.5dB, similarly to what done in LTE spec. If assumption about SNR and IM are changed later, the table below will be adjusted accordingly. </w:t>
      </w:r>
    </w:p>
    <w:p w14:paraId="477002FA" w14:textId="42E257EC" w:rsidR="00F30DEB" w:rsidRDefault="00F30DEB" w:rsidP="00F30DEB">
      <w:pPr>
        <w:jc w:val="both"/>
        <w:rPr>
          <w:b/>
          <w:i/>
          <w:lang w:val="en-US"/>
        </w:rPr>
      </w:pPr>
      <w:r w:rsidRPr="00F30DEB">
        <w:rPr>
          <w:b/>
          <w:i/>
          <w:lang w:val="en-US"/>
        </w:rPr>
        <w:t>Proposal 4</w:t>
      </w:r>
      <w:r>
        <w:rPr>
          <w:b/>
          <w:i/>
          <w:lang w:val="en-US"/>
        </w:rPr>
        <w:t xml:space="preserve">: to adopt </w:t>
      </w:r>
      <w:r w:rsidRPr="00F30DEB">
        <w:rPr>
          <w:b/>
          <w:i/>
          <w:lang w:val="en-US"/>
        </w:rPr>
        <w:fldChar w:fldCharType="begin"/>
      </w:r>
      <w:r w:rsidRPr="00F30DEB">
        <w:rPr>
          <w:b/>
          <w:i/>
          <w:lang w:val="en-US"/>
        </w:rPr>
        <w:instrText xml:space="preserve"> REF _Ref489975675 \h  \* MERGEFORMAT </w:instrText>
      </w:r>
      <w:r w:rsidRPr="00F30DEB">
        <w:rPr>
          <w:b/>
          <w:i/>
          <w:lang w:val="en-US"/>
        </w:rPr>
      </w:r>
      <w:r w:rsidRPr="00F30DEB">
        <w:rPr>
          <w:b/>
          <w:i/>
          <w:lang w:val="en-US"/>
        </w:rPr>
        <w:fldChar w:fldCharType="separate"/>
      </w:r>
      <w:r w:rsidR="00BA03AC" w:rsidRPr="00BA03AC">
        <w:rPr>
          <w:b/>
          <w:i/>
        </w:rPr>
        <w:t xml:space="preserve">Table </w:t>
      </w:r>
      <w:r w:rsidR="00BA03AC" w:rsidRPr="00BA03AC">
        <w:rPr>
          <w:b/>
          <w:i/>
          <w:noProof/>
        </w:rPr>
        <w:t>2</w:t>
      </w:r>
      <w:r w:rsidRPr="00F30DEB">
        <w:rPr>
          <w:b/>
          <w:i/>
          <w:lang w:val="en-US"/>
        </w:rPr>
        <w:fldChar w:fldCharType="end"/>
      </w:r>
      <w:r>
        <w:rPr>
          <w:b/>
          <w:i/>
          <w:lang w:val="en-US"/>
        </w:rPr>
        <w:t xml:space="preserve"> as specification for UE in-band blocking requirement. </w:t>
      </w:r>
    </w:p>
    <w:p w14:paraId="503DA394" w14:textId="415C488E" w:rsidR="00F30DEB" w:rsidRDefault="00F30DEB" w:rsidP="0034031F">
      <w:pPr>
        <w:pStyle w:val="Caption"/>
        <w:keepNext/>
        <w:jc w:val="center"/>
      </w:pPr>
      <w:bookmarkStart w:id="5" w:name="_Ref489975675"/>
      <w:r>
        <w:t xml:space="preserve">Table </w:t>
      </w:r>
      <w:r>
        <w:fldChar w:fldCharType="begin"/>
      </w:r>
      <w:r>
        <w:instrText xml:space="preserve"> SEQ Table \* ARABIC </w:instrText>
      </w:r>
      <w:r>
        <w:fldChar w:fldCharType="separate"/>
      </w:r>
      <w:r w:rsidR="00BA03AC">
        <w:rPr>
          <w:noProof/>
        </w:rPr>
        <w:t>2</w:t>
      </w:r>
      <w:r>
        <w:fldChar w:fldCharType="end"/>
      </w:r>
      <w:bookmarkEnd w:id="5"/>
      <w:r>
        <w:t xml:space="preserve">. Test parameters for </w:t>
      </w:r>
      <w:r w:rsidR="009B37A1">
        <w:t>i</w:t>
      </w:r>
      <w:r>
        <w:t>n-band blocking test.</w:t>
      </w:r>
    </w:p>
    <w:tbl>
      <w:tblPr>
        <w:tblW w:w="8447" w:type="dxa"/>
        <w:jc w:val="center"/>
        <w:tblLook w:val="04A0" w:firstRow="1" w:lastRow="0" w:firstColumn="1" w:lastColumn="0" w:noHBand="0" w:noVBand="1"/>
      </w:tblPr>
      <w:tblGrid>
        <w:gridCol w:w="1430"/>
        <w:gridCol w:w="990"/>
        <w:gridCol w:w="1900"/>
        <w:gridCol w:w="2520"/>
        <w:gridCol w:w="1607"/>
      </w:tblGrid>
      <w:tr w:rsidR="00F30DEB" w:rsidRPr="00F30DEB" w14:paraId="77E4A397" w14:textId="77777777" w:rsidTr="00A60EBF">
        <w:trPr>
          <w:trHeight w:val="275"/>
          <w:jc w:val="center"/>
        </w:trPr>
        <w:tc>
          <w:tcPr>
            <w:tcW w:w="14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8BA9C" w14:textId="77777777" w:rsidR="00F30DEB" w:rsidRPr="00F30DEB" w:rsidRDefault="00F30DEB" w:rsidP="00F30DEB">
            <w:pPr>
              <w:spacing w:after="0"/>
              <w:jc w:val="center"/>
              <w:rPr>
                <w:rFonts w:ascii="Arial" w:hAnsi="Arial" w:cs="Arial"/>
                <w:b/>
                <w:bCs/>
                <w:color w:val="000000"/>
                <w:sz w:val="18"/>
                <w:szCs w:val="18"/>
                <w:lang w:val="en-US"/>
              </w:rPr>
            </w:pPr>
            <w:r w:rsidRPr="00F30DEB">
              <w:rPr>
                <w:rFonts w:ascii="Arial" w:hAnsi="Arial" w:cs="Arial"/>
                <w:b/>
                <w:bCs/>
                <w:color w:val="000000"/>
                <w:sz w:val="18"/>
                <w:szCs w:val="18"/>
                <w:lang w:val="en-US"/>
              </w:rPr>
              <w:t>Rx Parameter</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593BB8BB" w14:textId="77777777" w:rsidR="00F30DEB" w:rsidRPr="00F30DEB" w:rsidRDefault="00F30DEB" w:rsidP="00F30DEB">
            <w:pPr>
              <w:spacing w:after="0"/>
              <w:jc w:val="center"/>
              <w:rPr>
                <w:rFonts w:ascii="Arial" w:hAnsi="Arial" w:cs="Arial"/>
                <w:b/>
                <w:bCs/>
                <w:color w:val="000000"/>
                <w:sz w:val="18"/>
                <w:szCs w:val="18"/>
                <w:lang w:val="en-US"/>
              </w:rPr>
            </w:pPr>
            <w:r w:rsidRPr="00F30DEB">
              <w:rPr>
                <w:rFonts w:ascii="Arial" w:hAnsi="Arial" w:cs="Arial"/>
                <w:b/>
                <w:bCs/>
                <w:color w:val="000000"/>
                <w:sz w:val="18"/>
                <w:szCs w:val="18"/>
                <w:lang w:val="en-US"/>
              </w:rPr>
              <w:t xml:space="preserve">Units </w:t>
            </w:r>
          </w:p>
        </w:tc>
        <w:tc>
          <w:tcPr>
            <w:tcW w:w="6027" w:type="dxa"/>
            <w:gridSpan w:val="3"/>
            <w:tcBorders>
              <w:top w:val="single" w:sz="8" w:space="0" w:color="auto"/>
              <w:left w:val="nil"/>
              <w:bottom w:val="single" w:sz="8" w:space="0" w:color="auto"/>
              <w:right w:val="single" w:sz="8" w:space="0" w:color="000000"/>
            </w:tcBorders>
            <w:shd w:val="clear" w:color="auto" w:fill="auto"/>
            <w:vAlign w:val="center"/>
            <w:hideMark/>
          </w:tcPr>
          <w:p w14:paraId="632AB167" w14:textId="77777777" w:rsidR="00F30DEB" w:rsidRPr="00F30DEB" w:rsidRDefault="00F30DEB" w:rsidP="00F30DEB">
            <w:pPr>
              <w:spacing w:after="0"/>
              <w:jc w:val="center"/>
              <w:rPr>
                <w:rFonts w:ascii="Arial" w:hAnsi="Arial" w:cs="Arial"/>
                <w:b/>
                <w:bCs/>
                <w:color w:val="000000"/>
                <w:sz w:val="18"/>
                <w:szCs w:val="18"/>
                <w:lang w:val="en-US"/>
              </w:rPr>
            </w:pPr>
            <w:r w:rsidRPr="00F30DEB">
              <w:rPr>
                <w:rFonts w:ascii="Arial" w:hAnsi="Arial" w:cs="Arial"/>
                <w:b/>
                <w:bCs/>
                <w:color w:val="000000"/>
                <w:sz w:val="18"/>
                <w:szCs w:val="18"/>
                <w:lang w:val="en-US"/>
              </w:rPr>
              <w:t>Channel bandwidth</w:t>
            </w:r>
          </w:p>
        </w:tc>
      </w:tr>
      <w:tr w:rsidR="00F30DEB" w:rsidRPr="00F30DEB" w14:paraId="57F5D00E" w14:textId="77777777" w:rsidTr="00A60EBF">
        <w:trPr>
          <w:trHeight w:val="275"/>
          <w:jc w:val="center"/>
        </w:trPr>
        <w:tc>
          <w:tcPr>
            <w:tcW w:w="1430" w:type="dxa"/>
            <w:vMerge/>
            <w:tcBorders>
              <w:top w:val="single" w:sz="8" w:space="0" w:color="auto"/>
              <w:left w:val="single" w:sz="8" w:space="0" w:color="auto"/>
              <w:bottom w:val="single" w:sz="8" w:space="0" w:color="000000"/>
              <w:right w:val="single" w:sz="8" w:space="0" w:color="auto"/>
            </w:tcBorders>
            <w:vAlign w:val="center"/>
            <w:hideMark/>
          </w:tcPr>
          <w:p w14:paraId="1964DCA2" w14:textId="77777777" w:rsidR="00F30DEB" w:rsidRPr="00F30DEB" w:rsidRDefault="00F30DEB" w:rsidP="00F30DEB">
            <w:pPr>
              <w:spacing w:after="0"/>
              <w:rPr>
                <w:rFonts w:ascii="Arial" w:hAnsi="Arial" w:cs="Arial"/>
                <w:b/>
                <w:bCs/>
                <w:color w:val="000000"/>
                <w:sz w:val="18"/>
                <w:szCs w:val="18"/>
                <w:lang w:val="en-US"/>
              </w:rPr>
            </w:pPr>
          </w:p>
        </w:tc>
        <w:tc>
          <w:tcPr>
            <w:tcW w:w="990" w:type="dxa"/>
            <w:tcBorders>
              <w:top w:val="nil"/>
              <w:left w:val="nil"/>
              <w:bottom w:val="single" w:sz="8" w:space="0" w:color="auto"/>
              <w:right w:val="single" w:sz="8" w:space="0" w:color="auto"/>
            </w:tcBorders>
            <w:shd w:val="clear" w:color="auto" w:fill="auto"/>
            <w:vAlign w:val="center"/>
            <w:hideMark/>
          </w:tcPr>
          <w:p w14:paraId="4D70E13B" w14:textId="77777777" w:rsidR="00F30DEB" w:rsidRPr="00F30DEB" w:rsidRDefault="00F30DEB" w:rsidP="00F30DEB">
            <w:pPr>
              <w:spacing w:after="0"/>
              <w:jc w:val="center"/>
              <w:rPr>
                <w:rFonts w:ascii="Arial" w:hAnsi="Arial" w:cs="Arial"/>
                <w:b/>
                <w:bCs/>
                <w:color w:val="000000"/>
                <w:sz w:val="18"/>
                <w:szCs w:val="18"/>
                <w:lang w:val="en-US"/>
              </w:rPr>
            </w:pPr>
            <w:r w:rsidRPr="00F30DEB">
              <w:rPr>
                <w:rFonts w:ascii="Arial" w:hAnsi="Arial" w:cs="Arial"/>
                <w:b/>
                <w:bCs/>
                <w:color w:val="000000"/>
                <w:sz w:val="18"/>
                <w:szCs w:val="18"/>
                <w:lang w:val="en-US"/>
              </w:rPr>
              <w:t> </w:t>
            </w:r>
          </w:p>
        </w:tc>
        <w:tc>
          <w:tcPr>
            <w:tcW w:w="1900" w:type="dxa"/>
            <w:tcBorders>
              <w:top w:val="single" w:sz="8" w:space="0" w:color="auto"/>
              <w:left w:val="nil"/>
              <w:bottom w:val="single" w:sz="8" w:space="0" w:color="auto"/>
              <w:right w:val="single" w:sz="8" w:space="0" w:color="000000"/>
            </w:tcBorders>
            <w:shd w:val="clear" w:color="auto" w:fill="auto"/>
            <w:vAlign w:val="center"/>
            <w:hideMark/>
          </w:tcPr>
          <w:p w14:paraId="7E7D7EFA" w14:textId="77777777" w:rsidR="00F30DEB" w:rsidRPr="00F30DEB" w:rsidRDefault="00F30DEB" w:rsidP="00F30DEB">
            <w:pPr>
              <w:spacing w:after="0"/>
              <w:jc w:val="center"/>
              <w:rPr>
                <w:rFonts w:ascii="Arial" w:hAnsi="Arial" w:cs="Arial"/>
                <w:b/>
                <w:bCs/>
                <w:color w:val="000000"/>
                <w:sz w:val="18"/>
                <w:szCs w:val="18"/>
                <w:lang w:val="en-US"/>
              </w:rPr>
            </w:pPr>
            <w:r w:rsidRPr="00F30DEB">
              <w:rPr>
                <w:rFonts w:ascii="Arial" w:hAnsi="Arial" w:cs="Arial"/>
                <w:b/>
                <w:bCs/>
                <w:color w:val="000000"/>
                <w:sz w:val="18"/>
                <w:szCs w:val="18"/>
                <w:lang w:val="en-US"/>
              </w:rPr>
              <w:t>50 MHz</w:t>
            </w:r>
          </w:p>
        </w:tc>
        <w:tc>
          <w:tcPr>
            <w:tcW w:w="2520" w:type="dxa"/>
            <w:tcBorders>
              <w:top w:val="single" w:sz="8" w:space="0" w:color="auto"/>
              <w:left w:val="nil"/>
              <w:bottom w:val="single" w:sz="8" w:space="0" w:color="auto"/>
              <w:right w:val="single" w:sz="8" w:space="0" w:color="000000"/>
            </w:tcBorders>
            <w:shd w:val="clear" w:color="auto" w:fill="auto"/>
            <w:vAlign w:val="center"/>
            <w:hideMark/>
          </w:tcPr>
          <w:p w14:paraId="2F7D4843" w14:textId="77777777" w:rsidR="00F30DEB" w:rsidRPr="00F30DEB" w:rsidRDefault="00F30DEB" w:rsidP="00F30DEB">
            <w:pPr>
              <w:spacing w:after="0"/>
              <w:jc w:val="center"/>
              <w:rPr>
                <w:rFonts w:ascii="Arial" w:hAnsi="Arial" w:cs="Arial"/>
                <w:b/>
                <w:bCs/>
                <w:color w:val="000000"/>
                <w:sz w:val="18"/>
                <w:szCs w:val="18"/>
                <w:lang w:val="en-US"/>
              </w:rPr>
            </w:pPr>
            <w:r w:rsidRPr="00F30DEB">
              <w:rPr>
                <w:rFonts w:ascii="Arial" w:hAnsi="Arial" w:cs="Arial"/>
                <w:b/>
                <w:bCs/>
                <w:color w:val="000000"/>
                <w:sz w:val="18"/>
                <w:szCs w:val="18"/>
                <w:lang w:val="en-US"/>
              </w:rPr>
              <w:t>100 MHz</w:t>
            </w:r>
          </w:p>
        </w:tc>
        <w:tc>
          <w:tcPr>
            <w:tcW w:w="1607" w:type="dxa"/>
            <w:tcBorders>
              <w:top w:val="nil"/>
              <w:left w:val="nil"/>
              <w:bottom w:val="single" w:sz="8" w:space="0" w:color="auto"/>
              <w:right w:val="single" w:sz="8" w:space="0" w:color="auto"/>
            </w:tcBorders>
            <w:shd w:val="clear" w:color="auto" w:fill="auto"/>
            <w:vAlign w:val="center"/>
            <w:hideMark/>
          </w:tcPr>
          <w:p w14:paraId="744A0D86" w14:textId="77777777" w:rsidR="00F30DEB" w:rsidRPr="00F30DEB" w:rsidRDefault="00F30DEB" w:rsidP="00F30DEB">
            <w:pPr>
              <w:spacing w:after="0"/>
              <w:jc w:val="center"/>
              <w:rPr>
                <w:rFonts w:ascii="Arial" w:hAnsi="Arial" w:cs="Arial"/>
                <w:b/>
                <w:bCs/>
                <w:color w:val="000000"/>
                <w:sz w:val="18"/>
                <w:szCs w:val="18"/>
                <w:lang w:val="en-US"/>
              </w:rPr>
            </w:pPr>
            <w:r w:rsidRPr="00F30DEB">
              <w:rPr>
                <w:rFonts w:ascii="Arial" w:hAnsi="Arial" w:cs="Arial"/>
                <w:b/>
                <w:bCs/>
                <w:color w:val="000000"/>
                <w:sz w:val="18"/>
                <w:szCs w:val="18"/>
                <w:lang w:val="en-US"/>
              </w:rPr>
              <w:t>200 MHz</w:t>
            </w:r>
          </w:p>
        </w:tc>
      </w:tr>
      <w:tr w:rsidR="00F30DEB" w:rsidRPr="00F30DEB" w14:paraId="734FB7E7" w14:textId="77777777" w:rsidTr="00A60EBF">
        <w:trPr>
          <w:trHeight w:val="981"/>
          <w:jc w:val="center"/>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0C3B8507" w14:textId="77777777" w:rsidR="00F30DEB" w:rsidRPr="00F30DEB" w:rsidRDefault="00F30DEB" w:rsidP="00F30DEB">
            <w:pPr>
              <w:spacing w:after="0"/>
              <w:rPr>
                <w:rFonts w:ascii="Arial" w:hAnsi="Arial" w:cs="Arial"/>
                <w:color w:val="000000"/>
                <w:sz w:val="18"/>
                <w:szCs w:val="18"/>
                <w:lang w:val="en-US"/>
              </w:rPr>
            </w:pPr>
            <w:r w:rsidRPr="00F30DEB">
              <w:rPr>
                <w:rFonts w:ascii="Arial" w:hAnsi="Arial" w:cs="Arial"/>
                <w:color w:val="000000"/>
                <w:sz w:val="18"/>
                <w:szCs w:val="18"/>
                <w:lang w:val="en-US"/>
              </w:rPr>
              <w:t>Power in Transmission Bandwidth Configuration</w:t>
            </w:r>
          </w:p>
        </w:tc>
        <w:tc>
          <w:tcPr>
            <w:tcW w:w="990" w:type="dxa"/>
            <w:tcBorders>
              <w:top w:val="nil"/>
              <w:left w:val="nil"/>
              <w:bottom w:val="single" w:sz="8" w:space="0" w:color="auto"/>
              <w:right w:val="single" w:sz="8" w:space="0" w:color="auto"/>
            </w:tcBorders>
            <w:shd w:val="clear" w:color="auto" w:fill="auto"/>
            <w:vAlign w:val="center"/>
            <w:hideMark/>
          </w:tcPr>
          <w:p w14:paraId="626B0C26"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dBm</w:t>
            </w:r>
          </w:p>
        </w:tc>
        <w:tc>
          <w:tcPr>
            <w:tcW w:w="6027" w:type="dxa"/>
            <w:gridSpan w:val="3"/>
            <w:tcBorders>
              <w:top w:val="single" w:sz="8" w:space="0" w:color="auto"/>
              <w:left w:val="nil"/>
              <w:bottom w:val="single" w:sz="8" w:space="0" w:color="auto"/>
              <w:right w:val="single" w:sz="8" w:space="0" w:color="000000"/>
            </w:tcBorders>
            <w:shd w:val="clear" w:color="auto" w:fill="auto"/>
            <w:vAlign w:val="center"/>
            <w:hideMark/>
          </w:tcPr>
          <w:p w14:paraId="3FBDE6E5"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REFSENS + 14 dB</w:t>
            </w:r>
          </w:p>
        </w:tc>
      </w:tr>
      <w:tr w:rsidR="00F30DEB" w:rsidRPr="00F30DEB" w14:paraId="631102DC" w14:textId="77777777" w:rsidTr="00A60EBF">
        <w:trPr>
          <w:trHeight w:val="286"/>
          <w:jc w:val="center"/>
        </w:trPr>
        <w:tc>
          <w:tcPr>
            <w:tcW w:w="1430" w:type="dxa"/>
            <w:tcBorders>
              <w:top w:val="nil"/>
              <w:left w:val="single" w:sz="8" w:space="0" w:color="auto"/>
              <w:bottom w:val="nil"/>
              <w:right w:val="single" w:sz="8" w:space="0" w:color="auto"/>
            </w:tcBorders>
            <w:shd w:val="clear" w:color="auto" w:fill="auto"/>
            <w:vAlign w:val="center"/>
            <w:hideMark/>
          </w:tcPr>
          <w:p w14:paraId="544F1B84" w14:textId="77777777" w:rsidR="00F30DEB" w:rsidRPr="00F30DEB" w:rsidRDefault="00F30DEB" w:rsidP="00F30DEB">
            <w:pPr>
              <w:spacing w:after="0"/>
              <w:rPr>
                <w:rFonts w:ascii="Arial" w:hAnsi="Arial" w:cs="Arial"/>
                <w:color w:val="000000"/>
                <w:sz w:val="18"/>
                <w:szCs w:val="18"/>
                <w:lang w:val="en-US"/>
              </w:rPr>
            </w:pPr>
            <w:r w:rsidRPr="00F30DEB">
              <w:rPr>
                <w:rFonts w:ascii="Arial" w:hAnsi="Arial" w:cs="Arial"/>
                <w:color w:val="000000"/>
                <w:sz w:val="18"/>
                <w:szCs w:val="18"/>
                <w:lang w:val="en-US"/>
              </w:rPr>
              <w:t>P</w:t>
            </w:r>
            <w:r w:rsidRPr="00F30DEB">
              <w:rPr>
                <w:rFonts w:ascii="Arial" w:hAnsi="Arial" w:cs="Arial"/>
                <w:color w:val="000000"/>
                <w:sz w:val="18"/>
                <w:szCs w:val="18"/>
                <w:vertAlign w:val="subscript"/>
                <w:lang w:val="en-US"/>
              </w:rPr>
              <w:t>Interferer</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79DF87DE"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dBm</w:t>
            </w:r>
          </w:p>
        </w:tc>
        <w:tc>
          <w:tcPr>
            <w:tcW w:w="190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F6C4597"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REFSENS + 42.5dB</w:t>
            </w:r>
          </w:p>
        </w:tc>
        <w:tc>
          <w:tcPr>
            <w:tcW w:w="252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7B661BC"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REFSENS + 42.5dB</w:t>
            </w:r>
          </w:p>
        </w:tc>
        <w:tc>
          <w:tcPr>
            <w:tcW w:w="1607" w:type="dxa"/>
            <w:vMerge w:val="restart"/>
            <w:tcBorders>
              <w:top w:val="nil"/>
              <w:left w:val="single" w:sz="8" w:space="0" w:color="auto"/>
              <w:bottom w:val="single" w:sz="8" w:space="0" w:color="000000"/>
              <w:right w:val="single" w:sz="8" w:space="0" w:color="auto"/>
            </w:tcBorders>
            <w:shd w:val="clear" w:color="auto" w:fill="auto"/>
            <w:vAlign w:val="center"/>
            <w:hideMark/>
          </w:tcPr>
          <w:p w14:paraId="3AD045C2"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REFSENS + 42.5dB</w:t>
            </w:r>
          </w:p>
        </w:tc>
      </w:tr>
      <w:tr w:rsidR="00F30DEB" w:rsidRPr="00F30DEB" w14:paraId="61622095" w14:textId="77777777" w:rsidTr="00A60EBF">
        <w:trPr>
          <w:trHeight w:val="429"/>
          <w:jc w:val="center"/>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1EA79488" w14:textId="77777777" w:rsidR="00F30DEB" w:rsidRPr="00F30DEB" w:rsidRDefault="00F30DEB" w:rsidP="00F30DEB">
            <w:pPr>
              <w:spacing w:after="0"/>
              <w:rPr>
                <w:rFonts w:ascii="Arial" w:hAnsi="Arial" w:cs="Arial"/>
                <w:color w:val="000000"/>
                <w:sz w:val="18"/>
                <w:szCs w:val="18"/>
                <w:lang w:val="en-US"/>
              </w:rPr>
            </w:pPr>
            <w:r w:rsidRPr="00F30DEB">
              <w:rPr>
                <w:rFonts w:ascii="Arial" w:hAnsi="Arial" w:cs="Arial"/>
                <w:color w:val="000000"/>
                <w:sz w:val="18"/>
                <w:szCs w:val="18"/>
                <w:lang w:val="en-US"/>
              </w:rPr>
              <w:t>For IBB of 30dB</w:t>
            </w:r>
          </w:p>
        </w:tc>
        <w:tc>
          <w:tcPr>
            <w:tcW w:w="990" w:type="dxa"/>
            <w:vMerge/>
            <w:tcBorders>
              <w:top w:val="nil"/>
              <w:left w:val="single" w:sz="8" w:space="0" w:color="auto"/>
              <w:bottom w:val="single" w:sz="8" w:space="0" w:color="000000"/>
              <w:right w:val="single" w:sz="8" w:space="0" w:color="auto"/>
            </w:tcBorders>
            <w:vAlign w:val="center"/>
            <w:hideMark/>
          </w:tcPr>
          <w:p w14:paraId="1DF9DA62" w14:textId="77777777" w:rsidR="00F30DEB" w:rsidRPr="00F30DEB" w:rsidRDefault="00F30DEB" w:rsidP="00F30DEB">
            <w:pPr>
              <w:spacing w:after="0"/>
              <w:rPr>
                <w:rFonts w:ascii="Arial" w:hAnsi="Arial" w:cs="Arial"/>
                <w:color w:val="000000"/>
                <w:sz w:val="18"/>
                <w:szCs w:val="18"/>
                <w:lang w:val="en-US"/>
              </w:rPr>
            </w:pPr>
          </w:p>
        </w:tc>
        <w:tc>
          <w:tcPr>
            <w:tcW w:w="1900" w:type="dxa"/>
            <w:vMerge/>
            <w:tcBorders>
              <w:top w:val="single" w:sz="8" w:space="0" w:color="auto"/>
              <w:left w:val="single" w:sz="8" w:space="0" w:color="auto"/>
              <w:bottom w:val="single" w:sz="8" w:space="0" w:color="000000"/>
              <w:right w:val="single" w:sz="8" w:space="0" w:color="000000"/>
            </w:tcBorders>
            <w:vAlign w:val="center"/>
            <w:hideMark/>
          </w:tcPr>
          <w:p w14:paraId="153BA531" w14:textId="77777777" w:rsidR="00F30DEB" w:rsidRPr="00F30DEB" w:rsidRDefault="00F30DEB" w:rsidP="00F30DEB">
            <w:pPr>
              <w:spacing w:after="0"/>
              <w:rPr>
                <w:rFonts w:ascii="Arial" w:hAnsi="Arial" w:cs="Arial"/>
                <w:color w:val="000000"/>
                <w:sz w:val="18"/>
                <w:szCs w:val="18"/>
                <w:lang w:val="en-US"/>
              </w:rPr>
            </w:pPr>
          </w:p>
        </w:tc>
        <w:tc>
          <w:tcPr>
            <w:tcW w:w="2520" w:type="dxa"/>
            <w:vMerge/>
            <w:tcBorders>
              <w:top w:val="single" w:sz="8" w:space="0" w:color="auto"/>
              <w:left w:val="single" w:sz="8" w:space="0" w:color="auto"/>
              <w:bottom w:val="single" w:sz="8" w:space="0" w:color="000000"/>
              <w:right w:val="single" w:sz="8" w:space="0" w:color="000000"/>
            </w:tcBorders>
            <w:vAlign w:val="center"/>
            <w:hideMark/>
          </w:tcPr>
          <w:p w14:paraId="2C3CF622" w14:textId="77777777" w:rsidR="00F30DEB" w:rsidRPr="00F30DEB" w:rsidRDefault="00F30DEB" w:rsidP="00F30DEB">
            <w:pPr>
              <w:spacing w:after="0"/>
              <w:rPr>
                <w:rFonts w:ascii="Arial" w:hAnsi="Arial" w:cs="Arial"/>
                <w:color w:val="000000"/>
                <w:sz w:val="18"/>
                <w:szCs w:val="18"/>
                <w:lang w:val="en-US"/>
              </w:rPr>
            </w:pPr>
          </w:p>
        </w:tc>
        <w:tc>
          <w:tcPr>
            <w:tcW w:w="1607" w:type="dxa"/>
            <w:vMerge/>
            <w:tcBorders>
              <w:top w:val="nil"/>
              <w:left w:val="single" w:sz="8" w:space="0" w:color="auto"/>
              <w:bottom w:val="single" w:sz="8" w:space="0" w:color="000000"/>
              <w:right w:val="single" w:sz="8" w:space="0" w:color="auto"/>
            </w:tcBorders>
            <w:vAlign w:val="center"/>
            <w:hideMark/>
          </w:tcPr>
          <w:p w14:paraId="39BB4C12" w14:textId="77777777" w:rsidR="00F30DEB" w:rsidRPr="00F30DEB" w:rsidRDefault="00F30DEB" w:rsidP="00F30DEB">
            <w:pPr>
              <w:spacing w:after="0"/>
              <w:rPr>
                <w:rFonts w:ascii="Arial" w:hAnsi="Arial" w:cs="Arial"/>
                <w:color w:val="000000"/>
                <w:sz w:val="18"/>
                <w:szCs w:val="18"/>
                <w:lang w:val="en-US"/>
              </w:rPr>
            </w:pPr>
          </w:p>
        </w:tc>
      </w:tr>
      <w:tr w:rsidR="00F30DEB" w:rsidRPr="00F30DEB" w14:paraId="352EB9A8" w14:textId="77777777" w:rsidTr="00A60EBF">
        <w:trPr>
          <w:trHeight w:val="286"/>
          <w:jc w:val="center"/>
        </w:trPr>
        <w:tc>
          <w:tcPr>
            <w:tcW w:w="1430" w:type="dxa"/>
            <w:tcBorders>
              <w:top w:val="nil"/>
              <w:left w:val="single" w:sz="8" w:space="0" w:color="auto"/>
              <w:bottom w:val="nil"/>
              <w:right w:val="single" w:sz="8" w:space="0" w:color="auto"/>
            </w:tcBorders>
            <w:shd w:val="clear" w:color="auto" w:fill="auto"/>
            <w:vAlign w:val="center"/>
            <w:hideMark/>
          </w:tcPr>
          <w:p w14:paraId="0C88F05D" w14:textId="77777777" w:rsidR="00F30DEB" w:rsidRPr="00F30DEB" w:rsidRDefault="00F30DEB" w:rsidP="00F30DEB">
            <w:pPr>
              <w:spacing w:after="0"/>
              <w:rPr>
                <w:rFonts w:ascii="Arial" w:hAnsi="Arial" w:cs="Arial"/>
                <w:color w:val="000000"/>
                <w:sz w:val="18"/>
                <w:szCs w:val="18"/>
                <w:lang w:val="en-US"/>
              </w:rPr>
            </w:pPr>
            <w:r w:rsidRPr="00F30DEB">
              <w:rPr>
                <w:rFonts w:ascii="Arial" w:hAnsi="Arial" w:cs="Arial"/>
                <w:color w:val="000000"/>
                <w:sz w:val="18"/>
                <w:szCs w:val="18"/>
                <w:lang w:val="en-US"/>
              </w:rPr>
              <w:t>P</w:t>
            </w:r>
            <w:r w:rsidRPr="00F30DEB">
              <w:rPr>
                <w:rFonts w:ascii="Arial" w:hAnsi="Arial" w:cs="Arial"/>
                <w:color w:val="000000"/>
                <w:sz w:val="18"/>
                <w:szCs w:val="18"/>
                <w:vertAlign w:val="subscript"/>
                <w:lang w:val="en-US"/>
              </w:rPr>
              <w:t>Interferer</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7C79D967"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dBm</w:t>
            </w:r>
          </w:p>
        </w:tc>
        <w:tc>
          <w:tcPr>
            <w:tcW w:w="190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963868"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REFSENS + 41.5dB</w:t>
            </w:r>
          </w:p>
        </w:tc>
        <w:tc>
          <w:tcPr>
            <w:tcW w:w="252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2FECE84"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REFSENS + 41.5dB</w:t>
            </w:r>
          </w:p>
        </w:tc>
        <w:tc>
          <w:tcPr>
            <w:tcW w:w="1607" w:type="dxa"/>
            <w:vMerge w:val="restart"/>
            <w:tcBorders>
              <w:top w:val="nil"/>
              <w:left w:val="single" w:sz="8" w:space="0" w:color="auto"/>
              <w:bottom w:val="single" w:sz="8" w:space="0" w:color="000000"/>
              <w:right w:val="single" w:sz="8" w:space="0" w:color="auto"/>
            </w:tcBorders>
            <w:shd w:val="clear" w:color="auto" w:fill="auto"/>
            <w:vAlign w:val="center"/>
            <w:hideMark/>
          </w:tcPr>
          <w:p w14:paraId="44456489"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REFSENS + 41.5dB</w:t>
            </w:r>
          </w:p>
        </w:tc>
      </w:tr>
      <w:tr w:rsidR="00F30DEB" w:rsidRPr="00F30DEB" w14:paraId="715E0CD1" w14:textId="77777777" w:rsidTr="00A60EBF">
        <w:trPr>
          <w:trHeight w:val="429"/>
          <w:jc w:val="center"/>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5C952C5C" w14:textId="1E3DAF99" w:rsidR="00F30DEB" w:rsidRPr="00F30DEB" w:rsidRDefault="00F30DEB" w:rsidP="00F30DEB">
            <w:pPr>
              <w:spacing w:after="0"/>
              <w:rPr>
                <w:rFonts w:ascii="Arial" w:hAnsi="Arial" w:cs="Arial"/>
                <w:color w:val="000000"/>
                <w:sz w:val="18"/>
                <w:szCs w:val="18"/>
                <w:lang w:val="en-US"/>
              </w:rPr>
            </w:pPr>
            <w:r w:rsidRPr="00F30DEB">
              <w:rPr>
                <w:rFonts w:ascii="Arial" w:hAnsi="Arial" w:cs="Arial"/>
                <w:color w:val="000000"/>
                <w:sz w:val="18"/>
                <w:szCs w:val="18"/>
                <w:lang w:val="en-US"/>
              </w:rPr>
              <w:t xml:space="preserve">For </w:t>
            </w:r>
            <w:r w:rsidR="00A60EBF">
              <w:rPr>
                <w:rFonts w:ascii="Arial" w:hAnsi="Arial" w:cs="Arial"/>
                <w:color w:val="000000"/>
                <w:sz w:val="18"/>
                <w:szCs w:val="18"/>
                <w:lang w:val="en-US"/>
              </w:rPr>
              <w:t>IBB</w:t>
            </w:r>
            <w:r w:rsidRPr="00F30DEB">
              <w:rPr>
                <w:rFonts w:ascii="Arial" w:hAnsi="Arial" w:cs="Arial"/>
                <w:color w:val="000000"/>
                <w:sz w:val="18"/>
                <w:szCs w:val="18"/>
                <w:lang w:val="en-US"/>
              </w:rPr>
              <w:t xml:space="preserve"> of 29dB</w:t>
            </w:r>
          </w:p>
        </w:tc>
        <w:tc>
          <w:tcPr>
            <w:tcW w:w="990" w:type="dxa"/>
            <w:vMerge/>
            <w:tcBorders>
              <w:top w:val="nil"/>
              <w:left w:val="single" w:sz="8" w:space="0" w:color="auto"/>
              <w:bottom w:val="single" w:sz="8" w:space="0" w:color="000000"/>
              <w:right w:val="single" w:sz="8" w:space="0" w:color="auto"/>
            </w:tcBorders>
            <w:vAlign w:val="center"/>
            <w:hideMark/>
          </w:tcPr>
          <w:p w14:paraId="61D3A674" w14:textId="77777777" w:rsidR="00F30DEB" w:rsidRPr="00F30DEB" w:rsidRDefault="00F30DEB" w:rsidP="00F30DEB">
            <w:pPr>
              <w:spacing w:after="0"/>
              <w:rPr>
                <w:rFonts w:ascii="Arial" w:hAnsi="Arial" w:cs="Arial"/>
                <w:color w:val="000000"/>
                <w:sz w:val="18"/>
                <w:szCs w:val="18"/>
                <w:lang w:val="en-US"/>
              </w:rPr>
            </w:pPr>
          </w:p>
        </w:tc>
        <w:tc>
          <w:tcPr>
            <w:tcW w:w="1900" w:type="dxa"/>
            <w:vMerge/>
            <w:tcBorders>
              <w:top w:val="single" w:sz="8" w:space="0" w:color="auto"/>
              <w:left w:val="single" w:sz="8" w:space="0" w:color="auto"/>
              <w:bottom w:val="single" w:sz="8" w:space="0" w:color="000000"/>
              <w:right w:val="single" w:sz="8" w:space="0" w:color="000000"/>
            </w:tcBorders>
            <w:vAlign w:val="center"/>
            <w:hideMark/>
          </w:tcPr>
          <w:p w14:paraId="0FA5929A" w14:textId="77777777" w:rsidR="00F30DEB" w:rsidRPr="00F30DEB" w:rsidRDefault="00F30DEB" w:rsidP="00F30DEB">
            <w:pPr>
              <w:spacing w:after="0"/>
              <w:rPr>
                <w:rFonts w:ascii="Arial" w:hAnsi="Arial" w:cs="Arial"/>
                <w:color w:val="000000"/>
                <w:sz w:val="18"/>
                <w:szCs w:val="18"/>
                <w:lang w:val="en-US"/>
              </w:rPr>
            </w:pPr>
          </w:p>
        </w:tc>
        <w:tc>
          <w:tcPr>
            <w:tcW w:w="2520" w:type="dxa"/>
            <w:vMerge/>
            <w:tcBorders>
              <w:top w:val="single" w:sz="8" w:space="0" w:color="auto"/>
              <w:left w:val="single" w:sz="8" w:space="0" w:color="auto"/>
              <w:bottom w:val="single" w:sz="8" w:space="0" w:color="000000"/>
              <w:right w:val="single" w:sz="8" w:space="0" w:color="000000"/>
            </w:tcBorders>
            <w:vAlign w:val="center"/>
            <w:hideMark/>
          </w:tcPr>
          <w:p w14:paraId="5DF5C4FB" w14:textId="77777777" w:rsidR="00F30DEB" w:rsidRPr="00F30DEB" w:rsidRDefault="00F30DEB" w:rsidP="00F30DEB">
            <w:pPr>
              <w:spacing w:after="0"/>
              <w:rPr>
                <w:rFonts w:ascii="Arial" w:hAnsi="Arial" w:cs="Arial"/>
                <w:color w:val="000000"/>
                <w:sz w:val="18"/>
                <w:szCs w:val="18"/>
                <w:lang w:val="en-US"/>
              </w:rPr>
            </w:pPr>
          </w:p>
        </w:tc>
        <w:tc>
          <w:tcPr>
            <w:tcW w:w="1607" w:type="dxa"/>
            <w:vMerge/>
            <w:tcBorders>
              <w:top w:val="nil"/>
              <w:left w:val="single" w:sz="8" w:space="0" w:color="auto"/>
              <w:bottom w:val="single" w:sz="8" w:space="0" w:color="000000"/>
              <w:right w:val="single" w:sz="8" w:space="0" w:color="auto"/>
            </w:tcBorders>
            <w:vAlign w:val="center"/>
            <w:hideMark/>
          </w:tcPr>
          <w:p w14:paraId="3892C360" w14:textId="77777777" w:rsidR="00F30DEB" w:rsidRPr="00F30DEB" w:rsidRDefault="00F30DEB" w:rsidP="00F30DEB">
            <w:pPr>
              <w:spacing w:after="0"/>
              <w:rPr>
                <w:rFonts w:ascii="Arial" w:hAnsi="Arial" w:cs="Arial"/>
                <w:color w:val="000000"/>
                <w:sz w:val="18"/>
                <w:szCs w:val="18"/>
                <w:lang w:val="en-US"/>
              </w:rPr>
            </w:pPr>
          </w:p>
        </w:tc>
      </w:tr>
      <w:tr w:rsidR="00F30DEB" w:rsidRPr="00F30DEB" w14:paraId="6E741993" w14:textId="77777777" w:rsidTr="00A60EBF">
        <w:trPr>
          <w:trHeight w:val="418"/>
          <w:jc w:val="center"/>
        </w:trPr>
        <w:tc>
          <w:tcPr>
            <w:tcW w:w="1430" w:type="dxa"/>
            <w:tcBorders>
              <w:top w:val="nil"/>
              <w:left w:val="single" w:sz="8" w:space="0" w:color="auto"/>
              <w:bottom w:val="single" w:sz="8" w:space="0" w:color="auto"/>
              <w:right w:val="single" w:sz="8" w:space="0" w:color="auto"/>
            </w:tcBorders>
            <w:shd w:val="clear" w:color="auto" w:fill="auto"/>
            <w:vAlign w:val="center"/>
            <w:hideMark/>
          </w:tcPr>
          <w:p w14:paraId="401EB10D" w14:textId="77777777" w:rsidR="00F30DEB" w:rsidRPr="00F30DEB" w:rsidRDefault="00F30DEB" w:rsidP="00F30DEB">
            <w:pPr>
              <w:spacing w:after="0"/>
              <w:rPr>
                <w:rFonts w:ascii="Arial" w:hAnsi="Arial" w:cs="Arial"/>
                <w:color w:val="000000"/>
                <w:sz w:val="18"/>
                <w:szCs w:val="18"/>
                <w:lang w:val="en-US"/>
              </w:rPr>
            </w:pPr>
            <w:r w:rsidRPr="00F30DEB">
              <w:rPr>
                <w:rFonts w:ascii="Arial" w:hAnsi="Arial" w:cs="Arial"/>
                <w:color w:val="000000"/>
                <w:sz w:val="18"/>
                <w:szCs w:val="18"/>
                <w:lang w:val="en-US"/>
              </w:rPr>
              <w:t>BW</w:t>
            </w:r>
            <w:r w:rsidRPr="00F30DEB">
              <w:rPr>
                <w:rFonts w:ascii="Arial" w:hAnsi="Arial" w:cs="Arial"/>
                <w:color w:val="000000"/>
                <w:sz w:val="18"/>
                <w:szCs w:val="18"/>
                <w:vertAlign w:val="subscript"/>
                <w:lang w:val="en-US"/>
              </w:rPr>
              <w:t xml:space="preserve">Interferer </w:t>
            </w:r>
          </w:p>
        </w:tc>
        <w:tc>
          <w:tcPr>
            <w:tcW w:w="990" w:type="dxa"/>
            <w:tcBorders>
              <w:top w:val="nil"/>
              <w:left w:val="nil"/>
              <w:bottom w:val="single" w:sz="8" w:space="0" w:color="auto"/>
              <w:right w:val="single" w:sz="8" w:space="0" w:color="auto"/>
            </w:tcBorders>
            <w:shd w:val="clear" w:color="auto" w:fill="auto"/>
            <w:vAlign w:val="center"/>
            <w:hideMark/>
          </w:tcPr>
          <w:p w14:paraId="747B14C3"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MHz</w:t>
            </w:r>
          </w:p>
        </w:tc>
        <w:tc>
          <w:tcPr>
            <w:tcW w:w="1900" w:type="dxa"/>
            <w:tcBorders>
              <w:top w:val="single" w:sz="8" w:space="0" w:color="auto"/>
              <w:left w:val="nil"/>
              <w:bottom w:val="single" w:sz="8" w:space="0" w:color="auto"/>
              <w:right w:val="single" w:sz="8" w:space="0" w:color="000000"/>
            </w:tcBorders>
            <w:shd w:val="clear" w:color="auto" w:fill="auto"/>
            <w:vAlign w:val="center"/>
            <w:hideMark/>
          </w:tcPr>
          <w:p w14:paraId="30D88343"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50</w:t>
            </w:r>
          </w:p>
        </w:tc>
        <w:tc>
          <w:tcPr>
            <w:tcW w:w="2520" w:type="dxa"/>
            <w:tcBorders>
              <w:top w:val="single" w:sz="8" w:space="0" w:color="auto"/>
              <w:left w:val="nil"/>
              <w:bottom w:val="single" w:sz="8" w:space="0" w:color="auto"/>
              <w:right w:val="single" w:sz="8" w:space="0" w:color="000000"/>
            </w:tcBorders>
            <w:shd w:val="clear" w:color="auto" w:fill="auto"/>
            <w:vAlign w:val="center"/>
            <w:hideMark/>
          </w:tcPr>
          <w:p w14:paraId="7D307615"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100</w:t>
            </w:r>
          </w:p>
        </w:tc>
        <w:tc>
          <w:tcPr>
            <w:tcW w:w="1607" w:type="dxa"/>
            <w:tcBorders>
              <w:top w:val="nil"/>
              <w:left w:val="nil"/>
              <w:bottom w:val="single" w:sz="8" w:space="0" w:color="auto"/>
              <w:right w:val="single" w:sz="8" w:space="0" w:color="auto"/>
            </w:tcBorders>
            <w:shd w:val="clear" w:color="auto" w:fill="auto"/>
            <w:vAlign w:val="center"/>
            <w:hideMark/>
          </w:tcPr>
          <w:p w14:paraId="472EEE2D"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200</w:t>
            </w:r>
          </w:p>
        </w:tc>
      </w:tr>
      <w:tr w:rsidR="00F30DEB" w:rsidRPr="00F30DEB" w14:paraId="047F815B" w14:textId="77777777" w:rsidTr="00A60EBF">
        <w:trPr>
          <w:trHeight w:val="628"/>
          <w:jc w:val="center"/>
        </w:trPr>
        <w:tc>
          <w:tcPr>
            <w:tcW w:w="1430" w:type="dxa"/>
            <w:tcBorders>
              <w:top w:val="nil"/>
              <w:left w:val="single" w:sz="8" w:space="0" w:color="auto"/>
              <w:bottom w:val="nil"/>
              <w:right w:val="single" w:sz="8" w:space="0" w:color="auto"/>
            </w:tcBorders>
            <w:shd w:val="clear" w:color="auto" w:fill="auto"/>
            <w:vAlign w:val="center"/>
            <w:hideMark/>
          </w:tcPr>
          <w:p w14:paraId="77060573" w14:textId="77777777" w:rsidR="00F30DEB" w:rsidRPr="00F30DEB" w:rsidRDefault="00F30DEB" w:rsidP="00F30DEB">
            <w:pPr>
              <w:spacing w:after="0"/>
              <w:rPr>
                <w:rFonts w:ascii="Arial" w:hAnsi="Arial" w:cs="Arial"/>
                <w:color w:val="000000"/>
                <w:sz w:val="18"/>
                <w:szCs w:val="18"/>
                <w:lang w:val="en-US"/>
              </w:rPr>
            </w:pPr>
            <w:r w:rsidRPr="00F30DEB">
              <w:rPr>
                <w:rFonts w:ascii="Arial" w:hAnsi="Arial" w:cs="Arial"/>
                <w:color w:val="000000"/>
                <w:sz w:val="18"/>
                <w:szCs w:val="18"/>
                <w:lang w:val="en-US"/>
              </w:rPr>
              <w:t>F</w:t>
            </w:r>
            <w:r w:rsidRPr="00F30DEB">
              <w:rPr>
                <w:rFonts w:ascii="Arial" w:hAnsi="Arial" w:cs="Arial"/>
                <w:color w:val="000000"/>
                <w:sz w:val="18"/>
                <w:szCs w:val="18"/>
                <w:vertAlign w:val="subscript"/>
                <w:lang w:val="en-US"/>
              </w:rPr>
              <w:t>Interferer</w:t>
            </w:r>
            <w:r w:rsidRPr="00F30DEB">
              <w:rPr>
                <w:rFonts w:ascii="Arial" w:hAnsi="Arial" w:cs="Arial"/>
                <w:color w:val="000000"/>
                <w:sz w:val="18"/>
                <w:szCs w:val="18"/>
                <w:lang w:val="en-US"/>
              </w:rPr>
              <w:t xml:space="preserve"> (offset)</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3D0C0018"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MHz</w:t>
            </w:r>
          </w:p>
        </w:tc>
        <w:tc>
          <w:tcPr>
            <w:tcW w:w="1900" w:type="dxa"/>
            <w:tcBorders>
              <w:top w:val="single" w:sz="8" w:space="0" w:color="auto"/>
              <w:left w:val="nil"/>
              <w:bottom w:val="nil"/>
              <w:right w:val="single" w:sz="8" w:space="0" w:color="000000"/>
            </w:tcBorders>
            <w:shd w:val="clear" w:color="auto" w:fill="auto"/>
            <w:vAlign w:val="center"/>
            <w:hideMark/>
          </w:tcPr>
          <w:p w14:paraId="106C612D"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100+0.010</w:t>
            </w:r>
          </w:p>
        </w:tc>
        <w:tc>
          <w:tcPr>
            <w:tcW w:w="2520" w:type="dxa"/>
            <w:tcBorders>
              <w:top w:val="single" w:sz="8" w:space="0" w:color="auto"/>
              <w:left w:val="nil"/>
              <w:bottom w:val="nil"/>
              <w:right w:val="single" w:sz="8" w:space="0" w:color="000000"/>
            </w:tcBorders>
            <w:shd w:val="clear" w:color="auto" w:fill="auto"/>
            <w:vAlign w:val="center"/>
            <w:hideMark/>
          </w:tcPr>
          <w:p w14:paraId="28D8C7A0"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200+0.050</w:t>
            </w:r>
          </w:p>
        </w:tc>
        <w:tc>
          <w:tcPr>
            <w:tcW w:w="1607" w:type="dxa"/>
            <w:tcBorders>
              <w:top w:val="nil"/>
              <w:left w:val="nil"/>
              <w:bottom w:val="nil"/>
              <w:right w:val="single" w:sz="8" w:space="0" w:color="auto"/>
            </w:tcBorders>
            <w:shd w:val="clear" w:color="auto" w:fill="auto"/>
            <w:vAlign w:val="center"/>
            <w:hideMark/>
          </w:tcPr>
          <w:p w14:paraId="1F6F1B85"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400+0.010</w:t>
            </w:r>
          </w:p>
        </w:tc>
      </w:tr>
      <w:tr w:rsidR="00F30DEB" w:rsidRPr="00F30DEB" w14:paraId="464ADE34" w14:textId="77777777" w:rsidTr="00A60EBF">
        <w:trPr>
          <w:trHeight w:val="418"/>
          <w:jc w:val="center"/>
        </w:trPr>
        <w:tc>
          <w:tcPr>
            <w:tcW w:w="1430" w:type="dxa"/>
            <w:tcBorders>
              <w:top w:val="nil"/>
              <w:left w:val="single" w:sz="8" w:space="0" w:color="auto"/>
              <w:bottom w:val="nil"/>
              <w:right w:val="single" w:sz="8" w:space="0" w:color="auto"/>
            </w:tcBorders>
            <w:shd w:val="clear" w:color="auto" w:fill="auto"/>
            <w:vAlign w:val="center"/>
            <w:hideMark/>
          </w:tcPr>
          <w:p w14:paraId="2A9230D7" w14:textId="77777777" w:rsidR="00F30DEB" w:rsidRPr="00F30DEB" w:rsidRDefault="00F30DEB" w:rsidP="00F30DEB">
            <w:pPr>
              <w:spacing w:after="0"/>
              <w:rPr>
                <w:rFonts w:ascii="Arial" w:hAnsi="Arial" w:cs="Arial"/>
                <w:color w:val="000000"/>
                <w:sz w:val="18"/>
                <w:szCs w:val="18"/>
                <w:lang w:val="en-US"/>
              </w:rPr>
            </w:pPr>
            <w:r w:rsidRPr="00F30DEB">
              <w:rPr>
                <w:rFonts w:ascii="Arial" w:hAnsi="Arial" w:cs="Arial"/>
                <w:color w:val="000000"/>
                <w:sz w:val="18"/>
                <w:szCs w:val="18"/>
                <w:lang w:val="en-US"/>
              </w:rPr>
              <w:t>For SCS of 60kHz</w:t>
            </w:r>
          </w:p>
        </w:tc>
        <w:tc>
          <w:tcPr>
            <w:tcW w:w="990" w:type="dxa"/>
            <w:vMerge/>
            <w:tcBorders>
              <w:top w:val="nil"/>
              <w:left w:val="single" w:sz="8" w:space="0" w:color="auto"/>
              <w:bottom w:val="single" w:sz="8" w:space="0" w:color="000000"/>
              <w:right w:val="single" w:sz="8" w:space="0" w:color="auto"/>
            </w:tcBorders>
            <w:vAlign w:val="center"/>
            <w:hideMark/>
          </w:tcPr>
          <w:p w14:paraId="45686519" w14:textId="77777777" w:rsidR="00F30DEB" w:rsidRPr="00F30DEB" w:rsidRDefault="00F30DEB" w:rsidP="00F30DEB">
            <w:pPr>
              <w:spacing w:after="0"/>
              <w:rPr>
                <w:rFonts w:ascii="Arial" w:hAnsi="Arial" w:cs="Arial"/>
                <w:color w:val="000000"/>
                <w:sz w:val="18"/>
                <w:szCs w:val="18"/>
                <w:lang w:val="en-US"/>
              </w:rPr>
            </w:pPr>
          </w:p>
        </w:tc>
        <w:tc>
          <w:tcPr>
            <w:tcW w:w="1900" w:type="dxa"/>
            <w:tcBorders>
              <w:top w:val="nil"/>
              <w:left w:val="nil"/>
              <w:bottom w:val="nil"/>
              <w:right w:val="single" w:sz="8" w:space="0" w:color="000000"/>
            </w:tcBorders>
            <w:shd w:val="clear" w:color="auto" w:fill="auto"/>
            <w:vAlign w:val="center"/>
            <w:hideMark/>
          </w:tcPr>
          <w:p w14:paraId="50FB4460"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w:t>
            </w:r>
          </w:p>
        </w:tc>
        <w:tc>
          <w:tcPr>
            <w:tcW w:w="2520" w:type="dxa"/>
            <w:tcBorders>
              <w:top w:val="nil"/>
              <w:left w:val="nil"/>
              <w:bottom w:val="nil"/>
              <w:right w:val="single" w:sz="8" w:space="0" w:color="000000"/>
            </w:tcBorders>
            <w:shd w:val="clear" w:color="auto" w:fill="auto"/>
            <w:vAlign w:val="center"/>
            <w:hideMark/>
          </w:tcPr>
          <w:p w14:paraId="527AFDFA"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w:t>
            </w:r>
          </w:p>
        </w:tc>
        <w:tc>
          <w:tcPr>
            <w:tcW w:w="1607" w:type="dxa"/>
            <w:tcBorders>
              <w:top w:val="nil"/>
              <w:left w:val="nil"/>
              <w:bottom w:val="nil"/>
              <w:right w:val="single" w:sz="8" w:space="0" w:color="auto"/>
            </w:tcBorders>
            <w:shd w:val="clear" w:color="auto" w:fill="auto"/>
            <w:vAlign w:val="center"/>
            <w:hideMark/>
          </w:tcPr>
          <w:p w14:paraId="536E3743"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w:t>
            </w:r>
          </w:p>
        </w:tc>
      </w:tr>
      <w:tr w:rsidR="00F30DEB" w:rsidRPr="00F30DEB" w14:paraId="395071BB" w14:textId="77777777" w:rsidTr="00A60EBF">
        <w:trPr>
          <w:trHeight w:val="418"/>
          <w:jc w:val="center"/>
        </w:trPr>
        <w:tc>
          <w:tcPr>
            <w:tcW w:w="1430" w:type="dxa"/>
            <w:tcBorders>
              <w:top w:val="nil"/>
              <w:left w:val="single" w:sz="8" w:space="0" w:color="auto"/>
              <w:bottom w:val="single" w:sz="8" w:space="0" w:color="auto"/>
              <w:right w:val="single" w:sz="8" w:space="0" w:color="auto"/>
            </w:tcBorders>
            <w:shd w:val="clear" w:color="auto" w:fill="auto"/>
            <w:hideMark/>
          </w:tcPr>
          <w:p w14:paraId="413B5B10" w14:textId="77777777" w:rsidR="00F30DEB" w:rsidRPr="00F30DEB" w:rsidRDefault="00F30DEB" w:rsidP="00F30DEB">
            <w:pPr>
              <w:spacing w:after="0"/>
              <w:rPr>
                <w:rFonts w:ascii="Calibri" w:hAnsi="Calibri"/>
                <w:color w:val="000000"/>
                <w:sz w:val="18"/>
                <w:szCs w:val="18"/>
                <w:lang w:val="en-US"/>
              </w:rPr>
            </w:pPr>
            <w:r w:rsidRPr="00F30DEB">
              <w:rPr>
                <w:rFonts w:ascii="Calibri" w:hAnsi="Calibri"/>
                <w:color w:val="000000"/>
                <w:sz w:val="18"/>
                <w:szCs w:val="18"/>
                <w:lang w:val="en-US"/>
              </w:rPr>
              <w:t> </w:t>
            </w:r>
          </w:p>
        </w:tc>
        <w:tc>
          <w:tcPr>
            <w:tcW w:w="990" w:type="dxa"/>
            <w:vMerge/>
            <w:tcBorders>
              <w:top w:val="nil"/>
              <w:left w:val="single" w:sz="8" w:space="0" w:color="auto"/>
              <w:bottom w:val="single" w:sz="8" w:space="0" w:color="000000"/>
              <w:right w:val="single" w:sz="8" w:space="0" w:color="auto"/>
            </w:tcBorders>
            <w:vAlign w:val="center"/>
            <w:hideMark/>
          </w:tcPr>
          <w:p w14:paraId="1D215D6A" w14:textId="77777777" w:rsidR="00F30DEB" w:rsidRPr="00F30DEB" w:rsidRDefault="00F30DEB" w:rsidP="00F30DEB">
            <w:pPr>
              <w:spacing w:after="0"/>
              <w:rPr>
                <w:rFonts w:ascii="Arial" w:hAnsi="Arial" w:cs="Arial"/>
                <w:color w:val="000000"/>
                <w:sz w:val="18"/>
                <w:szCs w:val="18"/>
                <w:lang w:val="en-US"/>
              </w:rPr>
            </w:pPr>
          </w:p>
        </w:tc>
        <w:tc>
          <w:tcPr>
            <w:tcW w:w="1900" w:type="dxa"/>
            <w:tcBorders>
              <w:top w:val="nil"/>
              <w:left w:val="nil"/>
              <w:bottom w:val="single" w:sz="8" w:space="0" w:color="auto"/>
              <w:right w:val="single" w:sz="8" w:space="0" w:color="000000"/>
            </w:tcBorders>
            <w:shd w:val="clear" w:color="auto" w:fill="auto"/>
            <w:vAlign w:val="center"/>
            <w:hideMark/>
          </w:tcPr>
          <w:p w14:paraId="240974DD"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-100.01</w:t>
            </w:r>
          </w:p>
        </w:tc>
        <w:tc>
          <w:tcPr>
            <w:tcW w:w="2520" w:type="dxa"/>
            <w:tcBorders>
              <w:top w:val="nil"/>
              <w:left w:val="nil"/>
              <w:bottom w:val="single" w:sz="8" w:space="0" w:color="auto"/>
              <w:right w:val="single" w:sz="8" w:space="0" w:color="000000"/>
            </w:tcBorders>
            <w:shd w:val="clear" w:color="auto" w:fill="auto"/>
            <w:vAlign w:val="center"/>
            <w:hideMark/>
          </w:tcPr>
          <w:p w14:paraId="19D51575"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-200.05</w:t>
            </w:r>
          </w:p>
        </w:tc>
        <w:tc>
          <w:tcPr>
            <w:tcW w:w="1607" w:type="dxa"/>
            <w:tcBorders>
              <w:top w:val="nil"/>
              <w:left w:val="nil"/>
              <w:bottom w:val="single" w:sz="8" w:space="0" w:color="auto"/>
              <w:right w:val="single" w:sz="8" w:space="0" w:color="auto"/>
            </w:tcBorders>
            <w:shd w:val="clear" w:color="auto" w:fill="auto"/>
            <w:vAlign w:val="center"/>
            <w:hideMark/>
          </w:tcPr>
          <w:p w14:paraId="1EA4F4CF"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-400.01</w:t>
            </w:r>
          </w:p>
        </w:tc>
      </w:tr>
      <w:tr w:rsidR="00F30DEB" w:rsidRPr="00F30DEB" w14:paraId="2BA0908B" w14:textId="77777777" w:rsidTr="00A60EBF">
        <w:trPr>
          <w:trHeight w:val="418"/>
          <w:jc w:val="center"/>
        </w:trPr>
        <w:tc>
          <w:tcPr>
            <w:tcW w:w="1430" w:type="dxa"/>
            <w:tcBorders>
              <w:top w:val="nil"/>
              <w:left w:val="single" w:sz="8" w:space="0" w:color="auto"/>
              <w:bottom w:val="nil"/>
              <w:right w:val="single" w:sz="8" w:space="0" w:color="auto"/>
            </w:tcBorders>
            <w:shd w:val="clear" w:color="auto" w:fill="auto"/>
            <w:vAlign w:val="center"/>
            <w:hideMark/>
          </w:tcPr>
          <w:p w14:paraId="5E27E62D" w14:textId="77777777" w:rsidR="00F30DEB" w:rsidRPr="00F30DEB" w:rsidRDefault="00F30DEB" w:rsidP="00F30DEB">
            <w:pPr>
              <w:spacing w:after="0"/>
              <w:rPr>
                <w:rFonts w:ascii="Arial" w:hAnsi="Arial" w:cs="Arial"/>
                <w:color w:val="000000"/>
                <w:sz w:val="18"/>
                <w:szCs w:val="18"/>
                <w:lang w:val="en-US"/>
              </w:rPr>
            </w:pPr>
            <w:r w:rsidRPr="00F30DEB">
              <w:rPr>
                <w:rFonts w:ascii="Arial" w:hAnsi="Arial" w:cs="Arial"/>
                <w:color w:val="000000"/>
                <w:sz w:val="18"/>
                <w:szCs w:val="18"/>
                <w:lang w:val="en-US"/>
              </w:rPr>
              <w:t>F</w:t>
            </w:r>
            <w:r w:rsidRPr="00F30DEB">
              <w:rPr>
                <w:rFonts w:ascii="Arial" w:hAnsi="Arial" w:cs="Arial"/>
                <w:color w:val="000000"/>
                <w:sz w:val="18"/>
                <w:szCs w:val="18"/>
                <w:vertAlign w:val="subscript"/>
                <w:lang w:val="en-US"/>
              </w:rPr>
              <w:t>Interferer</w:t>
            </w:r>
            <w:r w:rsidRPr="00F30DEB">
              <w:rPr>
                <w:rFonts w:ascii="Arial" w:hAnsi="Arial" w:cs="Arial"/>
                <w:color w:val="000000"/>
                <w:sz w:val="18"/>
                <w:szCs w:val="18"/>
                <w:lang w:val="en-US"/>
              </w:rPr>
              <w:t xml:space="preserve"> (offset)</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3BB644FC"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MHz</w:t>
            </w:r>
          </w:p>
        </w:tc>
        <w:tc>
          <w:tcPr>
            <w:tcW w:w="1900" w:type="dxa"/>
            <w:tcBorders>
              <w:top w:val="single" w:sz="8" w:space="0" w:color="auto"/>
              <w:left w:val="nil"/>
              <w:bottom w:val="nil"/>
              <w:right w:val="single" w:sz="8" w:space="0" w:color="000000"/>
            </w:tcBorders>
            <w:shd w:val="clear" w:color="auto" w:fill="auto"/>
            <w:vAlign w:val="center"/>
            <w:hideMark/>
          </w:tcPr>
          <w:p w14:paraId="5A813BF5"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100+0.100</w:t>
            </w:r>
          </w:p>
        </w:tc>
        <w:tc>
          <w:tcPr>
            <w:tcW w:w="2520" w:type="dxa"/>
            <w:tcBorders>
              <w:top w:val="single" w:sz="8" w:space="0" w:color="auto"/>
              <w:left w:val="nil"/>
              <w:bottom w:val="nil"/>
              <w:right w:val="single" w:sz="8" w:space="0" w:color="000000"/>
            </w:tcBorders>
            <w:shd w:val="clear" w:color="auto" w:fill="auto"/>
            <w:vAlign w:val="center"/>
            <w:hideMark/>
          </w:tcPr>
          <w:p w14:paraId="2AE5F9A0"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200+0.020</w:t>
            </w:r>
          </w:p>
        </w:tc>
        <w:tc>
          <w:tcPr>
            <w:tcW w:w="1607" w:type="dxa"/>
            <w:tcBorders>
              <w:top w:val="nil"/>
              <w:left w:val="nil"/>
              <w:bottom w:val="nil"/>
              <w:right w:val="single" w:sz="8" w:space="0" w:color="auto"/>
            </w:tcBorders>
            <w:shd w:val="clear" w:color="auto" w:fill="auto"/>
            <w:vAlign w:val="center"/>
            <w:hideMark/>
          </w:tcPr>
          <w:p w14:paraId="53A63DE0"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400+0.100</w:t>
            </w:r>
          </w:p>
        </w:tc>
      </w:tr>
      <w:tr w:rsidR="00F30DEB" w:rsidRPr="00F30DEB" w14:paraId="2C886A0D" w14:textId="77777777" w:rsidTr="00A60EBF">
        <w:trPr>
          <w:trHeight w:val="418"/>
          <w:jc w:val="center"/>
        </w:trPr>
        <w:tc>
          <w:tcPr>
            <w:tcW w:w="1430" w:type="dxa"/>
            <w:tcBorders>
              <w:top w:val="nil"/>
              <w:left w:val="single" w:sz="8" w:space="0" w:color="auto"/>
              <w:bottom w:val="nil"/>
              <w:right w:val="single" w:sz="8" w:space="0" w:color="auto"/>
            </w:tcBorders>
            <w:shd w:val="clear" w:color="auto" w:fill="auto"/>
            <w:vAlign w:val="center"/>
            <w:hideMark/>
          </w:tcPr>
          <w:p w14:paraId="49D5F9FD" w14:textId="77777777" w:rsidR="00F30DEB" w:rsidRPr="00F30DEB" w:rsidRDefault="00F30DEB" w:rsidP="00F30DEB">
            <w:pPr>
              <w:spacing w:after="0"/>
              <w:rPr>
                <w:rFonts w:ascii="Arial" w:hAnsi="Arial" w:cs="Arial"/>
                <w:color w:val="000000"/>
                <w:sz w:val="18"/>
                <w:szCs w:val="18"/>
                <w:lang w:val="en-US"/>
              </w:rPr>
            </w:pPr>
            <w:r w:rsidRPr="00F30DEB">
              <w:rPr>
                <w:rFonts w:ascii="Arial" w:hAnsi="Arial" w:cs="Arial"/>
                <w:color w:val="000000"/>
                <w:sz w:val="18"/>
                <w:szCs w:val="18"/>
                <w:lang w:val="en-US"/>
              </w:rPr>
              <w:t>For SCS of 120kHz</w:t>
            </w:r>
          </w:p>
        </w:tc>
        <w:tc>
          <w:tcPr>
            <w:tcW w:w="990" w:type="dxa"/>
            <w:vMerge/>
            <w:tcBorders>
              <w:top w:val="nil"/>
              <w:left w:val="single" w:sz="8" w:space="0" w:color="auto"/>
              <w:bottom w:val="single" w:sz="8" w:space="0" w:color="000000"/>
              <w:right w:val="single" w:sz="8" w:space="0" w:color="auto"/>
            </w:tcBorders>
            <w:vAlign w:val="center"/>
            <w:hideMark/>
          </w:tcPr>
          <w:p w14:paraId="30E4426B" w14:textId="77777777" w:rsidR="00F30DEB" w:rsidRPr="00F30DEB" w:rsidRDefault="00F30DEB" w:rsidP="00F30DEB">
            <w:pPr>
              <w:spacing w:after="0"/>
              <w:rPr>
                <w:rFonts w:ascii="Arial" w:hAnsi="Arial" w:cs="Arial"/>
                <w:color w:val="000000"/>
                <w:sz w:val="18"/>
                <w:szCs w:val="18"/>
                <w:lang w:val="en-US"/>
              </w:rPr>
            </w:pPr>
          </w:p>
        </w:tc>
        <w:tc>
          <w:tcPr>
            <w:tcW w:w="1900" w:type="dxa"/>
            <w:tcBorders>
              <w:top w:val="nil"/>
              <w:left w:val="nil"/>
              <w:bottom w:val="nil"/>
              <w:right w:val="single" w:sz="8" w:space="0" w:color="000000"/>
            </w:tcBorders>
            <w:shd w:val="clear" w:color="auto" w:fill="auto"/>
            <w:vAlign w:val="center"/>
            <w:hideMark/>
          </w:tcPr>
          <w:p w14:paraId="3FD4BEBD"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w:t>
            </w:r>
          </w:p>
        </w:tc>
        <w:tc>
          <w:tcPr>
            <w:tcW w:w="2520" w:type="dxa"/>
            <w:tcBorders>
              <w:top w:val="nil"/>
              <w:left w:val="nil"/>
              <w:bottom w:val="nil"/>
              <w:right w:val="single" w:sz="8" w:space="0" w:color="000000"/>
            </w:tcBorders>
            <w:shd w:val="clear" w:color="auto" w:fill="auto"/>
            <w:vAlign w:val="center"/>
            <w:hideMark/>
          </w:tcPr>
          <w:p w14:paraId="5FA63785"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w:t>
            </w:r>
          </w:p>
        </w:tc>
        <w:tc>
          <w:tcPr>
            <w:tcW w:w="1607" w:type="dxa"/>
            <w:tcBorders>
              <w:top w:val="nil"/>
              <w:left w:val="nil"/>
              <w:bottom w:val="nil"/>
              <w:right w:val="single" w:sz="8" w:space="0" w:color="auto"/>
            </w:tcBorders>
            <w:shd w:val="clear" w:color="auto" w:fill="auto"/>
            <w:vAlign w:val="center"/>
            <w:hideMark/>
          </w:tcPr>
          <w:p w14:paraId="06ACC183"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w:t>
            </w:r>
          </w:p>
        </w:tc>
      </w:tr>
      <w:tr w:rsidR="00F30DEB" w:rsidRPr="00F30DEB" w14:paraId="3EFCAB74" w14:textId="77777777" w:rsidTr="00A60EBF">
        <w:trPr>
          <w:trHeight w:val="275"/>
          <w:jc w:val="center"/>
        </w:trPr>
        <w:tc>
          <w:tcPr>
            <w:tcW w:w="1430" w:type="dxa"/>
            <w:tcBorders>
              <w:top w:val="nil"/>
              <w:left w:val="single" w:sz="8" w:space="0" w:color="auto"/>
              <w:bottom w:val="single" w:sz="8" w:space="0" w:color="auto"/>
              <w:right w:val="single" w:sz="8" w:space="0" w:color="auto"/>
            </w:tcBorders>
            <w:shd w:val="clear" w:color="auto" w:fill="auto"/>
            <w:hideMark/>
          </w:tcPr>
          <w:p w14:paraId="085935B0" w14:textId="77777777" w:rsidR="00F30DEB" w:rsidRPr="00F30DEB" w:rsidRDefault="00F30DEB" w:rsidP="00F30DEB">
            <w:pPr>
              <w:spacing w:after="0"/>
              <w:rPr>
                <w:rFonts w:ascii="Calibri" w:hAnsi="Calibri"/>
                <w:color w:val="000000"/>
                <w:sz w:val="18"/>
                <w:szCs w:val="18"/>
                <w:lang w:val="en-US"/>
              </w:rPr>
            </w:pPr>
            <w:r w:rsidRPr="00F30DEB">
              <w:rPr>
                <w:rFonts w:ascii="Calibri" w:hAnsi="Calibri"/>
                <w:color w:val="000000"/>
                <w:sz w:val="18"/>
                <w:szCs w:val="18"/>
                <w:lang w:val="en-US"/>
              </w:rPr>
              <w:t> </w:t>
            </w:r>
          </w:p>
        </w:tc>
        <w:tc>
          <w:tcPr>
            <w:tcW w:w="990" w:type="dxa"/>
            <w:vMerge/>
            <w:tcBorders>
              <w:top w:val="nil"/>
              <w:left w:val="single" w:sz="8" w:space="0" w:color="auto"/>
              <w:bottom w:val="single" w:sz="8" w:space="0" w:color="000000"/>
              <w:right w:val="single" w:sz="8" w:space="0" w:color="auto"/>
            </w:tcBorders>
            <w:vAlign w:val="center"/>
            <w:hideMark/>
          </w:tcPr>
          <w:p w14:paraId="616D66EB" w14:textId="77777777" w:rsidR="00F30DEB" w:rsidRPr="00F30DEB" w:rsidRDefault="00F30DEB" w:rsidP="00F30DEB">
            <w:pPr>
              <w:spacing w:after="0"/>
              <w:rPr>
                <w:rFonts w:ascii="Arial" w:hAnsi="Arial" w:cs="Arial"/>
                <w:color w:val="000000"/>
                <w:sz w:val="18"/>
                <w:szCs w:val="18"/>
                <w:lang w:val="en-US"/>
              </w:rPr>
            </w:pPr>
          </w:p>
        </w:tc>
        <w:tc>
          <w:tcPr>
            <w:tcW w:w="1900" w:type="dxa"/>
            <w:tcBorders>
              <w:top w:val="nil"/>
              <w:left w:val="nil"/>
              <w:bottom w:val="single" w:sz="8" w:space="0" w:color="auto"/>
              <w:right w:val="single" w:sz="8" w:space="0" w:color="000000"/>
            </w:tcBorders>
            <w:shd w:val="clear" w:color="auto" w:fill="auto"/>
            <w:vAlign w:val="center"/>
            <w:hideMark/>
          </w:tcPr>
          <w:p w14:paraId="3D12383D"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-100.1</w:t>
            </w:r>
          </w:p>
        </w:tc>
        <w:tc>
          <w:tcPr>
            <w:tcW w:w="2520" w:type="dxa"/>
            <w:tcBorders>
              <w:top w:val="nil"/>
              <w:left w:val="nil"/>
              <w:bottom w:val="single" w:sz="8" w:space="0" w:color="auto"/>
              <w:right w:val="single" w:sz="8" w:space="0" w:color="000000"/>
            </w:tcBorders>
            <w:shd w:val="clear" w:color="auto" w:fill="auto"/>
            <w:vAlign w:val="center"/>
            <w:hideMark/>
          </w:tcPr>
          <w:p w14:paraId="7F044117"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-200.02</w:t>
            </w:r>
          </w:p>
        </w:tc>
        <w:tc>
          <w:tcPr>
            <w:tcW w:w="1607" w:type="dxa"/>
            <w:tcBorders>
              <w:top w:val="nil"/>
              <w:left w:val="nil"/>
              <w:bottom w:val="single" w:sz="8" w:space="0" w:color="auto"/>
              <w:right w:val="single" w:sz="8" w:space="0" w:color="auto"/>
            </w:tcBorders>
            <w:shd w:val="clear" w:color="auto" w:fill="auto"/>
            <w:vAlign w:val="center"/>
            <w:hideMark/>
          </w:tcPr>
          <w:p w14:paraId="614213C1" w14:textId="77777777" w:rsidR="00F30DEB" w:rsidRPr="00F30DEB" w:rsidRDefault="00F30DEB" w:rsidP="00F30DEB">
            <w:pPr>
              <w:spacing w:after="0"/>
              <w:jc w:val="center"/>
              <w:rPr>
                <w:rFonts w:ascii="Arial" w:hAnsi="Arial" w:cs="Arial"/>
                <w:color w:val="000000"/>
                <w:sz w:val="18"/>
                <w:szCs w:val="18"/>
                <w:lang w:val="en-US"/>
              </w:rPr>
            </w:pPr>
            <w:r w:rsidRPr="00F30DEB">
              <w:rPr>
                <w:rFonts w:ascii="Arial" w:hAnsi="Arial" w:cs="Arial"/>
                <w:color w:val="000000"/>
                <w:sz w:val="18"/>
                <w:szCs w:val="18"/>
                <w:lang w:val="en-US"/>
              </w:rPr>
              <w:t>-400.1</w:t>
            </w:r>
          </w:p>
        </w:tc>
      </w:tr>
    </w:tbl>
    <w:p w14:paraId="4EB94EE2" w14:textId="77E0432F" w:rsidR="00CB30DD" w:rsidRDefault="00CB30DD" w:rsidP="00065A12">
      <w:pPr>
        <w:jc w:val="both"/>
        <w:rPr>
          <w:b/>
          <w:i/>
          <w:lang w:val="en-US"/>
        </w:rPr>
      </w:pPr>
    </w:p>
    <w:p w14:paraId="0278932A" w14:textId="77777777" w:rsidR="002D3403" w:rsidRDefault="002D3403" w:rsidP="00065A12">
      <w:pPr>
        <w:jc w:val="both"/>
        <w:rPr>
          <w:b/>
          <w:i/>
          <w:lang w:val="en-US"/>
        </w:rPr>
      </w:pP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18BB4CF" w14:textId="228BDE01" w:rsidR="0040474E" w:rsidRDefault="00F35409" w:rsidP="0040474E">
      <w:pPr>
        <w:jc w:val="both"/>
        <w:rPr>
          <w:lang w:val="en-US"/>
        </w:rPr>
      </w:pPr>
      <w:r>
        <w:rPr>
          <w:lang w:val="en-US"/>
        </w:rPr>
        <w:t>In this contribution</w:t>
      </w:r>
      <w:r w:rsidR="001C7920">
        <w:rPr>
          <w:lang w:val="en-US"/>
        </w:rPr>
        <w:t>,</w:t>
      </w:r>
      <w:r>
        <w:rPr>
          <w:lang w:val="en-US"/>
        </w:rPr>
        <w:t xml:space="preserve"> we </w:t>
      </w:r>
      <w:r w:rsidR="00803EC5">
        <w:rPr>
          <w:lang w:val="en-US"/>
        </w:rPr>
        <w:t xml:space="preserve">analyzed </w:t>
      </w:r>
      <w:r w:rsidR="00252DDC">
        <w:rPr>
          <w:lang w:val="en-US"/>
        </w:rPr>
        <w:t>UE IBB</w:t>
      </w:r>
      <w:r w:rsidR="00C80BCE">
        <w:rPr>
          <w:lang w:val="en-US"/>
        </w:rPr>
        <w:t xml:space="preserve"> requirement</w:t>
      </w:r>
      <w:r w:rsidR="00252DDC">
        <w:rPr>
          <w:lang w:val="en-US"/>
        </w:rPr>
        <w:t xml:space="preserve"> for mmW frequency ranges. We provided simulation results </w:t>
      </w:r>
      <w:r w:rsidR="00D753D3">
        <w:rPr>
          <w:lang w:val="en-US"/>
        </w:rPr>
        <w:t>considering three operators transmitting in the same band. Based on the outcome of our analysis</w:t>
      </w:r>
      <w:r w:rsidR="001C7920">
        <w:rPr>
          <w:lang w:val="en-US"/>
        </w:rPr>
        <w:t>,</w:t>
      </w:r>
      <w:r w:rsidR="00D753D3">
        <w:rPr>
          <w:lang w:val="en-US"/>
        </w:rPr>
        <w:t xml:space="preserve"> we made the following proposal</w:t>
      </w:r>
      <w:r w:rsidR="00C80BCE">
        <w:rPr>
          <w:lang w:val="en-US"/>
        </w:rPr>
        <w:t>s</w:t>
      </w:r>
      <w:r w:rsidR="00D753D3">
        <w:rPr>
          <w:lang w:val="en-US"/>
        </w:rPr>
        <w:t>:</w:t>
      </w:r>
    </w:p>
    <w:p w14:paraId="0E0C6CA5" w14:textId="77777777" w:rsidR="00D753D3" w:rsidRDefault="00D753D3" w:rsidP="00D753D3">
      <w:pPr>
        <w:jc w:val="both"/>
        <w:rPr>
          <w:b/>
          <w:i/>
          <w:lang w:val="en-US"/>
        </w:rPr>
      </w:pPr>
      <w:r w:rsidRPr="00065A12">
        <w:rPr>
          <w:b/>
          <w:i/>
          <w:lang w:val="en-US"/>
        </w:rPr>
        <w:t>Proposal 1</w:t>
      </w:r>
      <w:r>
        <w:rPr>
          <w:b/>
          <w:i/>
          <w:lang w:val="en-US"/>
        </w:rPr>
        <w:t>: For the UE IBB test in mmW, the bandwidth of wanted and unwanted signals should be the same.</w:t>
      </w:r>
    </w:p>
    <w:p w14:paraId="180CDC0E" w14:textId="77591269" w:rsidR="00D753D3" w:rsidRDefault="00D753D3" w:rsidP="00D753D3">
      <w:pPr>
        <w:jc w:val="both"/>
        <w:rPr>
          <w:b/>
          <w:i/>
          <w:lang w:val="en-US"/>
        </w:rPr>
      </w:pPr>
      <w:r w:rsidRPr="00065A12">
        <w:rPr>
          <w:b/>
          <w:i/>
          <w:lang w:val="en-US"/>
        </w:rPr>
        <w:t xml:space="preserve">Proposal </w:t>
      </w:r>
      <w:r>
        <w:rPr>
          <w:b/>
          <w:i/>
          <w:lang w:val="en-US"/>
        </w:rPr>
        <w:t>2: Only one IBB test case covering the first non-adjacent channel should be specified as UE requirement in mmW.</w:t>
      </w:r>
    </w:p>
    <w:p w14:paraId="71F07711" w14:textId="77777777" w:rsidR="00D753D3" w:rsidRDefault="00D753D3" w:rsidP="00D753D3">
      <w:pPr>
        <w:jc w:val="both"/>
        <w:rPr>
          <w:b/>
          <w:i/>
          <w:lang w:val="en-US"/>
        </w:rPr>
      </w:pPr>
      <w:r w:rsidRPr="00065A12">
        <w:rPr>
          <w:b/>
          <w:i/>
          <w:lang w:val="en-US"/>
        </w:rPr>
        <w:t xml:space="preserve">Proposal </w:t>
      </w:r>
      <w:r>
        <w:rPr>
          <w:b/>
          <w:i/>
          <w:lang w:val="en-US"/>
        </w:rPr>
        <w:t xml:space="preserve">3: UE </w:t>
      </w:r>
      <w:r w:rsidRPr="002D3403">
        <w:rPr>
          <w:b/>
          <w:i/>
          <w:lang w:val="en-US"/>
        </w:rPr>
        <w:t xml:space="preserve">IBB </w:t>
      </w:r>
      <w:r>
        <w:rPr>
          <w:b/>
          <w:i/>
          <w:lang w:val="en-US"/>
        </w:rPr>
        <w:t>requirement should be</w:t>
      </w:r>
      <w:r w:rsidRPr="002D3403">
        <w:rPr>
          <w:b/>
          <w:i/>
          <w:lang w:val="en-US"/>
        </w:rPr>
        <w:t xml:space="preserve"> </w:t>
      </w:r>
      <w:r>
        <w:rPr>
          <w:b/>
          <w:i/>
          <w:lang w:val="en-US"/>
        </w:rPr>
        <w:t>30</w:t>
      </w:r>
      <w:r w:rsidRPr="002D3403">
        <w:rPr>
          <w:b/>
          <w:i/>
          <w:lang w:val="en-US"/>
        </w:rPr>
        <w:t xml:space="preserve">dB for </w:t>
      </w:r>
      <w:r>
        <w:rPr>
          <w:b/>
          <w:i/>
          <w:lang w:val="en-US"/>
        </w:rPr>
        <w:t>the 30GHz frequency range and 29</w:t>
      </w:r>
      <w:r w:rsidRPr="002D3403">
        <w:rPr>
          <w:b/>
          <w:i/>
          <w:lang w:val="en-US"/>
        </w:rPr>
        <w:t>dB for the 45GHz frequency range.</w:t>
      </w:r>
    </w:p>
    <w:p w14:paraId="2FCD726B" w14:textId="7C633C31" w:rsidR="00D753D3" w:rsidRDefault="00D753D3" w:rsidP="00D753D3">
      <w:pPr>
        <w:jc w:val="both"/>
        <w:rPr>
          <w:b/>
          <w:i/>
          <w:lang w:val="en-US"/>
        </w:rPr>
      </w:pPr>
      <w:r w:rsidRPr="00F30DEB">
        <w:rPr>
          <w:b/>
          <w:i/>
          <w:lang w:val="en-US"/>
        </w:rPr>
        <w:t>Proposal 4</w:t>
      </w:r>
      <w:r>
        <w:rPr>
          <w:b/>
          <w:i/>
          <w:lang w:val="en-US"/>
        </w:rPr>
        <w:t xml:space="preserve">: to adopt </w:t>
      </w:r>
      <w:r w:rsidRPr="00F30DEB">
        <w:rPr>
          <w:b/>
          <w:i/>
          <w:lang w:val="en-US"/>
        </w:rPr>
        <w:fldChar w:fldCharType="begin"/>
      </w:r>
      <w:r w:rsidRPr="00F30DEB">
        <w:rPr>
          <w:b/>
          <w:i/>
          <w:lang w:val="en-US"/>
        </w:rPr>
        <w:instrText xml:space="preserve"> REF _Ref489975675 \h  \* MERGEFORMAT </w:instrText>
      </w:r>
      <w:r w:rsidRPr="00F30DEB">
        <w:rPr>
          <w:b/>
          <w:i/>
          <w:lang w:val="en-US"/>
        </w:rPr>
      </w:r>
      <w:r w:rsidRPr="00F30DEB">
        <w:rPr>
          <w:b/>
          <w:i/>
          <w:lang w:val="en-US"/>
        </w:rPr>
        <w:fldChar w:fldCharType="separate"/>
      </w:r>
      <w:r w:rsidR="00BA03AC" w:rsidRPr="00BA03AC">
        <w:rPr>
          <w:b/>
          <w:i/>
        </w:rPr>
        <w:t xml:space="preserve">Table </w:t>
      </w:r>
      <w:r w:rsidR="00BA03AC" w:rsidRPr="00BA03AC">
        <w:rPr>
          <w:b/>
          <w:i/>
          <w:noProof/>
        </w:rPr>
        <w:t>2</w:t>
      </w:r>
      <w:r w:rsidRPr="00F30DEB">
        <w:rPr>
          <w:b/>
          <w:i/>
          <w:lang w:val="en-US"/>
        </w:rPr>
        <w:fldChar w:fldCharType="end"/>
      </w:r>
      <w:r>
        <w:rPr>
          <w:b/>
          <w:i/>
          <w:lang w:val="en-US"/>
        </w:rPr>
        <w:t xml:space="preserve"> as specification for UE in-band blocking requirement. </w:t>
      </w:r>
    </w:p>
    <w:p w14:paraId="66EC86FC" w14:textId="77777777" w:rsidR="00D753D3" w:rsidRDefault="00D753D3" w:rsidP="0040474E">
      <w:pPr>
        <w:jc w:val="both"/>
        <w:rPr>
          <w:lang w:val="en-US"/>
        </w:rPr>
      </w:pP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41FE1278" w14:textId="77777777" w:rsidR="005B0F9F" w:rsidRPr="005B0F9F" w:rsidRDefault="005B0F9F" w:rsidP="005B0F9F">
      <w:pPr>
        <w:pStyle w:val="ListParagraph"/>
        <w:numPr>
          <w:ilvl w:val="0"/>
          <w:numId w:val="2"/>
        </w:numPr>
        <w:rPr>
          <w:lang w:val="en-US"/>
        </w:rPr>
      </w:pPr>
      <w:bookmarkStart w:id="6" w:name="_Ref489521993"/>
      <w:bookmarkStart w:id="7" w:name="_Ref481663184"/>
      <w:bookmarkStart w:id="8" w:name="_Ref473813022"/>
      <w:bookmarkStart w:id="9" w:name="_Ref465947019"/>
      <w:r w:rsidRPr="005B0F9F">
        <w:rPr>
          <w:lang w:val="en-US"/>
        </w:rPr>
        <w:t>R4-1706063, “WF on mmW ACLR and ACS”, Qualcomm Incorporated, Huawei</w:t>
      </w:r>
      <w:r>
        <w:rPr>
          <w:lang w:val="en-US"/>
        </w:rPr>
        <w:t>.</w:t>
      </w:r>
      <w:bookmarkEnd w:id="6"/>
    </w:p>
    <w:p w14:paraId="0A733ADA" w14:textId="2166E457" w:rsidR="005B0F9F" w:rsidRDefault="005B0F9F" w:rsidP="005B0F9F">
      <w:pPr>
        <w:pStyle w:val="ListParagraph"/>
        <w:numPr>
          <w:ilvl w:val="0"/>
          <w:numId w:val="2"/>
        </w:numPr>
        <w:jc w:val="both"/>
        <w:rPr>
          <w:lang w:val="en-US"/>
        </w:rPr>
      </w:pPr>
      <w:bookmarkStart w:id="10" w:name="_Ref489521996"/>
      <w:r w:rsidRPr="005B0F9F">
        <w:rPr>
          <w:lang w:val="en-US"/>
        </w:rPr>
        <w:t>R4-1706526</w:t>
      </w:r>
      <w:r>
        <w:rPr>
          <w:lang w:val="en-US"/>
        </w:rPr>
        <w:t>, “UE ACS fro mmWave”, Intel Corporation.</w:t>
      </w:r>
      <w:bookmarkEnd w:id="10"/>
    </w:p>
    <w:p w14:paraId="6FF455AE" w14:textId="77777777" w:rsidR="00653C13" w:rsidRDefault="00653C13" w:rsidP="00653C13">
      <w:pPr>
        <w:pStyle w:val="ListParagraph"/>
        <w:numPr>
          <w:ilvl w:val="0"/>
          <w:numId w:val="2"/>
        </w:numPr>
        <w:jc w:val="both"/>
        <w:rPr>
          <w:lang w:val="en-US"/>
        </w:rPr>
      </w:pPr>
      <w:bookmarkStart w:id="11" w:name="_Ref489522242"/>
      <w:r w:rsidRPr="005B0F9F">
        <w:rPr>
          <w:lang w:val="en-US"/>
        </w:rPr>
        <w:t>R4-1705478</w:t>
      </w:r>
      <w:r>
        <w:rPr>
          <w:lang w:val="en-US"/>
        </w:rPr>
        <w:t>,</w:t>
      </w:r>
      <w:r w:rsidRPr="005B0F9F">
        <w:rPr>
          <w:lang w:val="en-US"/>
        </w:rPr>
        <w:t xml:space="preserve"> </w:t>
      </w:r>
      <w:r>
        <w:rPr>
          <w:lang w:val="en-US"/>
        </w:rPr>
        <w:t>“</w:t>
      </w:r>
      <w:r w:rsidRPr="005B0F9F">
        <w:rPr>
          <w:lang w:val="en-US"/>
        </w:rPr>
        <w:t>UE ACLR, ACS and IBB requirements for mmW</w:t>
      </w:r>
      <w:r>
        <w:rPr>
          <w:lang w:val="en-US"/>
        </w:rPr>
        <w:t>”, Qualcomm Incorporated.</w:t>
      </w:r>
      <w:bookmarkEnd w:id="11"/>
    </w:p>
    <w:p w14:paraId="530262B8" w14:textId="593C2627" w:rsidR="005B0F9F" w:rsidRPr="00C43FB7" w:rsidRDefault="00EF34CA" w:rsidP="00C43FB7">
      <w:pPr>
        <w:pStyle w:val="ListParagraph"/>
        <w:numPr>
          <w:ilvl w:val="0"/>
          <w:numId w:val="2"/>
        </w:numPr>
        <w:jc w:val="both"/>
        <w:rPr>
          <w:lang w:val="en-US"/>
        </w:rPr>
      </w:pPr>
      <w:bookmarkStart w:id="12" w:name="_Ref489890177"/>
      <w:r>
        <w:rPr>
          <w:lang w:val="en-US"/>
        </w:rPr>
        <w:t>3GPP TR 38.803, “</w:t>
      </w:r>
      <w:r w:rsidRPr="00EF34CA">
        <w:rPr>
          <w:lang w:val="en-US"/>
        </w:rPr>
        <w:t>Study on new radio access technology: Radio Frequency (RF) and co-existence aspects</w:t>
      </w:r>
      <w:r>
        <w:rPr>
          <w:lang w:val="en-US"/>
        </w:rPr>
        <w:t>”</w:t>
      </w:r>
      <w:r w:rsidR="009C134D">
        <w:rPr>
          <w:lang w:val="en-US"/>
        </w:rPr>
        <w:t>, V14.0.0</w:t>
      </w:r>
      <w:r>
        <w:rPr>
          <w:lang w:val="en-US"/>
        </w:rPr>
        <w:t>.</w:t>
      </w:r>
      <w:bookmarkEnd w:id="7"/>
      <w:bookmarkEnd w:id="8"/>
      <w:bookmarkEnd w:id="9"/>
      <w:bookmarkEnd w:id="12"/>
    </w:p>
    <w:sectPr w:rsidR="005B0F9F" w:rsidRPr="00C43FB7"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139D9" w14:textId="77777777" w:rsidR="000E438A" w:rsidRDefault="000E438A">
      <w:r>
        <w:separator/>
      </w:r>
    </w:p>
  </w:endnote>
  <w:endnote w:type="continuationSeparator" w:id="0">
    <w:p w14:paraId="238CDC71" w14:textId="77777777" w:rsidR="000E438A" w:rsidRDefault="000E4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A60EBF" w:rsidRDefault="00A60E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60EBF" w:rsidRDefault="00A60E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7EBE07A8" w:rsidR="00A60EBF" w:rsidRDefault="00A60E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C498C">
      <w:rPr>
        <w:rStyle w:val="PageNumber"/>
      </w:rPr>
      <w:t>1</w:t>
    </w:r>
    <w:r>
      <w:rPr>
        <w:rStyle w:val="PageNumber"/>
      </w:rPr>
      <w:fldChar w:fldCharType="end"/>
    </w:r>
  </w:p>
  <w:p w14:paraId="40DAC66D" w14:textId="77777777" w:rsidR="00A60EBF" w:rsidRDefault="00A60EB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7C5D5" w14:textId="77777777" w:rsidR="000E438A" w:rsidRDefault="000E438A">
      <w:r>
        <w:separator/>
      </w:r>
    </w:p>
  </w:footnote>
  <w:footnote w:type="continuationSeparator" w:id="0">
    <w:p w14:paraId="029BEA31" w14:textId="77777777" w:rsidR="000E438A" w:rsidRDefault="000E4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2"/>
  </w:num>
  <w:num w:numId="3">
    <w:abstractNumId w:val="25"/>
  </w:num>
  <w:num w:numId="4">
    <w:abstractNumId w:val="28"/>
  </w:num>
  <w:num w:numId="5">
    <w:abstractNumId w:val="20"/>
  </w:num>
  <w:num w:numId="6">
    <w:abstractNumId w:val="11"/>
  </w:num>
  <w:num w:numId="7">
    <w:abstractNumId w:val="5"/>
  </w:num>
  <w:num w:numId="8">
    <w:abstractNumId w:val="23"/>
  </w:num>
  <w:num w:numId="9">
    <w:abstractNumId w:val="13"/>
  </w:num>
  <w:num w:numId="10">
    <w:abstractNumId w:val="18"/>
  </w:num>
  <w:num w:numId="11">
    <w:abstractNumId w:val="29"/>
  </w:num>
  <w:num w:numId="12">
    <w:abstractNumId w:val="4"/>
  </w:num>
  <w:num w:numId="13">
    <w:abstractNumId w:val="3"/>
  </w:num>
  <w:num w:numId="14">
    <w:abstractNumId w:val="15"/>
  </w:num>
  <w:num w:numId="15">
    <w:abstractNumId w:val="17"/>
  </w:num>
  <w:num w:numId="16">
    <w:abstractNumId w:val="8"/>
  </w:num>
  <w:num w:numId="17">
    <w:abstractNumId w:val="27"/>
  </w:num>
  <w:num w:numId="18">
    <w:abstractNumId w:val="12"/>
  </w:num>
  <w:num w:numId="19">
    <w:abstractNumId w:val="0"/>
  </w:num>
  <w:num w:numId="20">
    <w:abstractNumId w:val="7"/>
  </w:num>
  <w:num w:numId="21">
    <w:abstractNumId w:val="9"/>
  </w:num>
  <w:num w:numId="22">
    <w:abstractNumId w:val="1"/>
  </w:num>
  <w:num w:numId="23">
    <w:abstractNumId w:val="6"/>
  </w:num>
  <w:num w:numId="24">
    <w:abstractNumId w:val="10"/>
  </w:num>
  <w:num w:numId="25">
    <w:abstractNumId w:val="24"/>
  </w:num>
  <w:num w:numId="26">
    <w:abstractNumId w:val="14"/>
  </w:num>
  <w:num w:numId="27">
    <w:abstractNumId w:val="26"/>
  </w:num>
  <w:num w:numId="28">
    <w:abstractNumId w:val="21"/>
  </w:num>
  <w:num w:numId="29">
    <w:abstractNumId w:val="2"/>
  </w:num>
  <w:num w:numId="30">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504A"/>
    <w:rsid w:val="002778DC"/>
    <w:rsid w:val="00277B68"/>
    <w:rsid w:val="00280813"/>
    <w:rsid w:val="0028105E"/>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441F"/>
    <w:rsid w:val="00B745E0"/>
    <w:rsid w:val="00B755FD"/>
    <w:rsid w:val="00B7658D"/>
    <w:rsid w:val="00B76B53"/>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61F"/>
    <w:rsid w:val="00D744C7"/>
    <w:rsid w:val="00D74AC4"/>
    <w:rsid w:val="00D750FB"/>
    <w:rsid w:val="00D75151"/>
    <w:rsid w:val="00D753D3"/>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9B994FA-7EEF-4359-8011-3E0C44BF2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3578</TotalTime>
  <Pages>5</Pages>
  <Words>1714</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37</cp:revision>
  <cp:lastPrinted>2017-08-09T09:01:00Z</cp:lastPrinted>
  <dcterms:created xsi:type="dcterms:W3CDTF">2017-05-04T08:50:00Z</dcterms:created>
  <dcterms:modified xsi:type="dcterms:W3CDTF">2017-08-11T20:11:00Z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